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 w:rsidRPr="00E34FBA">
        <w:rPr>
          <w:b w:val="0"/>
          <w:szCs w:val="28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="000B5C60">
        <w:rPr>
          <w:rFonts w:ascii="Times New Roman" w:hAnsi="Times New Roman" w:cs="Times New Roman"/>
          <w:sz w:val="20"/>
          <w:szCs w:val="20"/>
        </w:rPr>
        <w:t>, от 29.05.2024 № 464</w:t>
      </w:r>
      <w:r w:rsidRPr="009C54B9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67EC8">
        <w:fldChar w:fldCharType="begin"/>
      </w:r>
      <w:r w:rsidR="00667EC8">
        <w:instrText xml:space="preserve"> COMMENTS "1 "$#/$\%^ТипКласса:ПолеНомер;Идентификатор:НомерЭлемента;Позиц</w:instrText>
      </w:r>
      <w:r w:rsidR="00667EC8">
        <w:instrText xml:space="preserve">ияНомера:1;СтильНомера:Арабская;РазделительНомера: ;$#\$/%^\* MERGEFORMAT \* MERGEFORMAT </w:instrText>
      </w:r>
      <w:r w:rsidR="00667EC8">
        <w:fldChar w:fldCharType="separate"/>
      </w:r>
      <w:r w:rsidRPr="00431D5B">
        <w:rPr>
          <w:b w:val="0"/>
        </w:rPr>
        <w:t xml:space="preserve">1. </w:t>
      </w:r>
      <w:r w:rsidR="00667EC8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E34FBA">
        <w:t>88</w:t>
      </w:r>
      <w:r w:rsidR="00B22780">
        <w:t>4</w:t>
      </w:r>
      <w:r w:rsidR="00E34FBA">
        <w:t> 151 980,16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22780">
        <w:rPr>
          <w:color w:val="000000" w:themeColor="text1"/>
        </w:rPr>
        <w:t>9</w:t>
      </w:r>
      <w:r w:rsidR="00E34FBA">
        <w:rPr>
          <w:color w:val="000000" w:themeColor="text1"/>
        </w:rPr>
        <w:t>2</w:t>
      </w:r>
      <w:r w:rsidR="00B22780">
        <w:rPr>
          <w:color w:val="000000" w:themeColor="text1"/>
        </w:rPr>
        <w:t>2</w:t>
      </w:r>
      <w:r w:rsidR="00E34FBA">
        <w:rPr>
          <w:color w:val="000000" w:themeColor="text1"/>
        </w:rPr>
        <w:t> 516 602,12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605 270 326,66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606 208 123,11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605 270 326,66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606 208 123,11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667EC8">
        <w:fldChar w:fldCharType="begin"/>
      </w:r>
      <w:r w:rsidR="00667EC8">
        <w:instrText xml:space="preserve"> COMMENTS "2 "$#/$\%^ТипКласса:ПолеНомер;Идентификатор:НомерЭлемента;ПозицияНомера:2;СтильНомера:Арабская;Разделит</w:instrText>
      </w:r>
      <w:r w:rsidR="00667EC8">
        <w:instrText xml:space="preserve">ельНомера: ;$#\$/%^\* MERGEFORMAT \* MERGEFORMAT </w:instrText>
      </w:r>
      <w:r w:rsidR="00667EC8">
        <w:fldChar w:fldCharType="separate"/>
      </w:r>
      <w:r w:rsidRPr="008203C0">
        <w:rPr>
          <w:b w:val="0"/>
          <w:color w:val="000000" w:themeColor="text1"/>
        </w:rPr>
        <w:t>2.</w:t>
      </w:r>
      <w:r w:rsidR="00667EC8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667EC8">
        <w:fldChar w:fldCharType="begin"/>
      </w:r>
      <w:r w:rsidR="00667EC8">
        <w:instrText xml:space="preserve"> COMMENTS "3 "$#/$\%^ТипКласса:ПолеНомер;Идентификатор:НомерЭлемента;</w:instrText>
      </w:r>
      <w:r w:rsidR="00667EC8">
        <w:instrText xml:space="preserve">ПозицияНомера:3;СтильНомера:Арабская;РазделительНомера: ;$#\$/%^\* MERGEFORMAT \* MERGEFORMAT </w:instrText>
      </w:r>
      <w:r w:rsidR="00667EC8">
        <w:fldChar w:fldCharType="separate"/>
      </w:r>
      <w:r w:rsidRPr="005E10EE">
        <w:rPr>
          <w:b w:val="0"/>
        </w:rPr>
        <w:t>3.</w:t>
      </w:r>
      <w:r w:rsidR="00667EC8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14 026 475,00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770B83">
        <w:t>4 64</w:t>
      </w:r>
      <w:r w:rsidR="00B13B31">
        <w:t>9</w:t>
      </w:r>
      <w:r w:rsidR="00770B83">
        <w:t> 850,00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4 708 120,00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770B83">
        <w:t xml:space="preserve">4 531 790,00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667EC8">
        <w:rPr>
          <w:rFonts w:ascii="Times New Roman" w:hAnsi="Times New Roman" w:cs="Times New Roman"/>
          <w:sz w:val="28"/>
          <w:szCs w:val="28"/>
        </w:rPr>
        <w:t>11 366 101,51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667EC8">
        <w:rPr>
          <w:rFonts w:ascii="Times New Roman" w:hAnsi="Times New Roman" w:cs="Times New Roman"/>
          <w:sz w:val="28"/>
          <w:szCs w:val="28"/>
        </w:rPr>
        <w:t>7 349 999,00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средств, получателями бюджетных средств в </w:t>
      </w:r>
      <w:r w:rsidRPr="005E10EE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67EC8">
        <w:fldChar w:fldCharType="begin"/>
      </w:r>
      <w:r w:rsidR="00667EC8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667EC8">
        <w:fldChar w:fldCharType="separate"/>
      </w:r>
      <w:r w:rsidRPr="00431D5B">
        <w:rPr>
          <w:b w:val="0"/>
        </w:rPr>
        <w:t>4.</w:t>
      </w:r>
      <w:r w:rsidR="00667EC8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04720B">
        <w:rPr>
          <w:color w:val="000000" w:themeColor="text1"/>
        </w:rPr>
        <w:t>1 720 433,73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67EC8">
        <w:fldChar w:fldCharType="begin"/>
      </w:r>
      <w:r w:rsidR="00667EC8">
        <w:instrText xml:space="preserve"> COMMENTS "5 "$#/$\%^ТипКласса:ПолеНомер;Идентифика</w:instrText>
      </w:r>
      <w:r w:rsidR="00667EC8">
        <w:instrText xml:space="preserve">тор:НомерЭлемента;ПозицияНомера:5;СтильНомера:Арабская;РазделительНомера: ;$#\$/%^\* MERGEFORMAT \* MERGEFORMAT </w:instrText>
      </w:r>
      <w:r w:rsidR="00667EC8">
        <w:fldChar w:fldCharType="separate"/>
      </w:r>
      <w:r w:rsidRPr="00431D5B">
        <w:rPr>
          <w:b w:val="0"/>
        </w:rPr>
        <w:t>5.</w:t>
      </w:r>
      <w:r w:rsidR="00667EC8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667EC8">
        <w:rPr>
          <w:color w:val="000000" w:themeColor="text1"/>
          <w:szCs w:val="28"/>
        </w:rPr>
        <w:t>727 886 219,68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441 314 208,80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434 181 025,25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667EC8">
        <w:t>43 637 106,65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667EC8">
        <w:rPr>
          <w:color w:val="000000" w:themeColor="text1"/>
        </w:rPr>
        <w:t>6 387 116,65</w:t>
      </w:r>
      <w:bookmarkStart w:id="0" w:name="_GoBack"/>
      <w:bookmarkEnd w:id="0"/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2E490C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lastRenderedPageBreak/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6.Утвердить объем субсидий бюджетам муниципальных образований Горьковского муниципального района Омской области на 2024 год в сумме 800 000,00 рублей.</w:t>
      </w:r>
    </w:p>
    <w:p w:rsidR="001E0109" w:rsidRPr="00CA7711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78220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утверждается Администрацией Горьковского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1E0109" w:rsidRDefault="001E0109" w:rsidP="001E0109">
      <w:pPr>
        <w:pStyle w:val="a5"/>
        <w:spacing w:line="240" w:lineRule="auto"/>
        <w:ind w:firstLine="0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lastRenderedPageBreak/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67EC8">
        <w:fldChar w:fldCharType="begin"/>
      </w:r>
      <w:r w:rsidR="00667EC8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667EC8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667EC8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 xml:space="preserve"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</w:t>
      </w:r>
      <w:r w:rsidRPr="00E263CA">
        <w:rPr>
          <w:b w:val="0"/>
        </w:rPr>
        <w:lastRenderedPageBreak/>
        <w:t>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67EC8">
        <w:fldChar w:fldCharType="begin"/>
      </w:r>
      <w:r w:rsidR="00667EC8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667EC8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667EC8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B5C60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0109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67EC8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202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4FBA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1818E73E7D3EE307296322C7AF40DA72F1AE90A62DE3596F50830C6CF0B9BCA4951B0F17FAF68632707E735BD32F83BA2C2E36792EE701E1AC1E7Ac7O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C82D0-0FBF-4838-87D3-BB6D64F9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3600</Words>
  <Characters>20524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93</cp:revision>
  <cp:lastPrinted>2023-11-13T10:31:00Z</cp:lastPrinted>
  <dcterms:created xsi:type="dcterms:W3CDTF">2023-10-20T04:11:00Z</dcterms:created>
  <dcterms:modified xsi:type="dcterms:W3CDTF">2024-05-30T05:21:00Z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