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</w:p>
    <w:p>
      <w:pPr>
        <w:pStyle w:val="692"/>
        <w:ind w:firstLine="567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alibri" w:hAnsi="Calibri" w:eastAsia="Calibri" w:cs="Times New Roman"/>
          <w:b/>
          <w:color w:val="292c2f"/>
          <w:sz w:val="28"/>
          <w:szCs w:val="28"/>
        </w:rPr>
        <w:t xml:space="preserve">                                         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913079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Новое в законодательстве!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Договор дарения недвижимости</w:t>
      </w:r>
      <w:r/>
      <w:r/>
    </w:p>
    <w:p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между гражданами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должен удостоверять нотариус</w:t>
      </w:r>
      <w:r/>
      <w:r/>
    </w:p>
    <w:p>
      <w:pPr>
        <w:ind w:firstLine="567"/>
        <w:spacing w:after="0" w:line="420" w:lineRule="atLeast"/>
        <w:shd w:val="clear" w:color="ffffff" w:fill="ffffff"/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ffffff" w:fill="ffffff"/>
        <w:rPr>
          <w:rFonts w:ascii="Times New Roman" w:hAnsi="Times New Roman" w:eastAsia="Liberation Sans" w:cs="Times New Roman"/>
          <w:color w:val="26262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Liberation Sans" w:cs="Times New Roman"/>
          <w:bCs/>
          <w:color w:val="262626"/>
          <w:sz w:val="28"/>
          <w:szCs w:val="28"/>
        </w:rPr>
        <w:t xml:space="preserve">Соответствующий закон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 (Ф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едеральный закон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 от 13.12.2024 № 459-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ФЗ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«О внесении изменения в статью 574 части второй Гражданского кодекса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)</w:t>
      </w:r>
      <w:r>
        <w:rPr>
          <w:rFonts w:ascii="Times New Roman" w:hAnsi="Times New Roman" w:eastAsia="Liberation Sans" w:cs="Times New Roman"/>
          <w:b/>
          <w:bCs/>
          <w:color w:val="262626"/>
          <w:sz w:val="28"/>
          <w:szCs w:val="28"/>
        </w:rPr>
        <w:t xml:space="preserve"> </w:t>
      </w:r>
      <w:r>
        <w:rPr>
          <w:rFonts w:ascii="Times New Roman" w:hAnsi="Times New Roman" w:eastAsia="Liberation Sans" w:cs="Times New Roman"/>
          <w:bCs/>
          <w:color w:val="262626"/>
          <w:sz w:val="28"/>
          <w:szCs w:val="28"/>
        </w:rPr>
        <w:t xml:space="preserve">вступил в сил</w:t>
      </w:r>
      <w:r>
        <w:rPr>
          <w:rFonts w:ascii="Times New Roman" w:hAnsi="Times New Roman" w:eastAsia="Liberation Sans" w:cs="Times New Roman"/>
          <w:bCs/>
          <w:color w:val="262626"/>
          <w:sz w:val="28"/>
          <w:szCs w:val="28"/>
        </w:rPr>
        <w:t xml:space="preserve">у. </w:t>
      </w:r>
      <w:r>
        <w:rPr>
          <w:rFonts w:ascii="Times New Roman" w:hAnsi="Times New Roman" w:eastAsia="Liberation Sans" w:cs="Times New Roman"/>
          <w:color w:val="262626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after="0"/>
        <w:shd w:val="clear" w:color="ffffff" w:fill="ffffff"/>
        <w:rPr>
          <w:rFonts w:ascii="Tinos" w:hAnsi="Tinos" w:eastAsia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Дарение остается одним из самых популярных способов передачи права собственности на объекты недвижимости.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Это подтверждают цифры: в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2024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году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Управлением Росреестра по Омской области зарегистрировано 11 329 прав собственности на основании договоров дарения, что на 2 % больше, чем в 2023-м – 11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 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109.</w:t>
      </w:r>
      <w:r>
        <w:rPr>
          <w:rFonts w:ascii="Tinos" w:hAnsi="Tinos" w:eastAsia="Tinos" w:cs="Tinos"/>
          <w:color w:val="262626"/>
          <w:sz w:val="28"/>
          <w:szCs w:val="28"/>
        </w:rPr>
      </w:r>
    </w:p>
    <w:p>
      <w:pPr>
        <w:contextualSpacing/>
        <w:ind w:firstLine="567"/>
        <w:jc w:val="both"/>
        <w:spacing w:after="0"/>
        <w:shd w:val="clear" w:color="ffffff" w:fill="ffffff"/>
        <w:rPr>
          <w:rFonts w:ascii="Tinos" w:hAnsi="Tinos" w:eastAsia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По договору дарения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одна сторона (даритель) безвозмездно переда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ет другой стороне (одаряемому)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(статья 572 Г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ражданского кодекса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РФ).</w:t>
      </w:r>
      <w:r>
        <w:rPr>
          <w:rFonts w:ascii="Tinos" w:hAnsi="Tinos" w:eastAsia="Tinos" w:cs="Tinos"/>
          <w:color w:val="262626"/>
          <w:sz w:val="28"/>
          <w:szCs w:val="28"/>
        </w:rPr>
      </w:r>
    </w:p>
    <w:p>
      <w:pPr>
        <w:contextualSpacing/>
        <w:ind w:firstLine="567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13 января 2025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года договор дарения недвижимого имущества, заключенный между гражданами, должен удостоверять нотариус. Соответствующие изменения внесены в пункт 3 статьи 574 ГК РФ.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567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Изменение в законодательстве в первую очередь призвано защитить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и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мущественные права граждан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–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дарителей недвижимого имущества,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предупредить возможные злоупотребления со стороны одаряемых, в том числе в случаях, когда даритель относится к социально незащищенным слоям населения.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567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Не секрет, что на практик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е договоры дарения недвижимости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зачастую заключались вследствие заблуждения со стороны дарителя относительно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природы совершаемой им сделки.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Напр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имер, заключив договор дарения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,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дарители предполагают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, что право собственности на объект недвижимости перейдет к одаряемому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только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после смерти дарителя, а до этого момента сохранят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ся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все права, принадлежащие собственнику, в том числе право проживания в объекте недвижимости, если предметом договора дарения являлось жилое помещение.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Или другая ситуация: л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ица преклонного возраста, лица, страдающие о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т различных видов зависимости,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психических заболеваний и отклонений, но не состоящие на соответствующем учете и юридически являющиеся дееспособным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и, лица, вступившие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в различны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е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секты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либо попавшие под влияние одаряемых, желая оспорить заключенный ими договор дарения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,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не всегда располагают достаточными силами и финансовыми сред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ствами для обращения в суд с целью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защиты своих прав и законных интересов.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В случае удостоверения договора дарения нотариусом смысл и значение заключаемой сделки сторона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м договора разъясняет нотариус»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,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–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пояснила заместитель руководителя Управления Росреестра по Омской области </w:t>
      </w:r>
      <w:r>
        <w:rPr>
          <w:rFonts w:ascii="Tinos" w:hAnsi="Tinos" w:eastAsia="Tinos" w:cs="Tinos"/>
          <w:b/>
          <w:color w:val="262626"/>
          <w:sz w:val="28"/>
          <w:szCs w:val="28"/>
        </w:rPr>
        <w:t xml:space="preserve">Анжелика Иванова. 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pStyle w:val="873"/>
        <w:ind w:firstLine="709"/>
        <w:jc w:val="both"/>
        <w:spacing w:line="259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Несоблюдение нотариальной формы договора дарения, заключенного начин</w:t>
      </w:r>
      <w:r>
        <w:rPr>
          <w:rFonts w:ascii="Tinos" w:hAnsi="Tinos" w:eastAsia="Tinos" w:cs="Tinos"/>
          <w:sz w:val="28"/>
          <w:szCs w:val="28"/>
        </w:rPr>
        <w:t xml:space="preserve">ая с 13.01.2025, влечет ничтожность договора (статья 163 ГК РФ).  Соответственно, такой договор не может служить основанием для государственной регистрации права собственности одаряемого на объект недвижимости в Едином государственном реестре недвижимости.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Удостов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ерение договоров дарения объектов недвижимого имущества производится нотариусом, осуществляющим свою деятельность в любом из нотариальных округов, расположенных в пределах субъекта Российской Федерации, на территории которого находится указанное имущество.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Например, если имущество расположено на территории Омской области, для удостоверения договора дарения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гражданин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может обратиться к любому нотариусу Нотариальной палаты Омской области.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Нотариусу необходимо представить: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-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документы, удостоверяющие личность участников договора и (или) их представителей (если сделка заключается представителем дарителя или одаряемого); 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-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документы, устанавливающи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е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полномочия представителей участников договора (например, доверенность);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-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документы, подтверждающие наличие близких родственных связей между сторонами договора дарения (например, свидетельство о рождении);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-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СНИЛСы участников договора;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-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документы, устанавливающие право собственности д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арителя на недвижимое имущество.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В определенных случаях нотариус может истребоват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ь: развернутую копию лицевого счета, адресную справку, справку о наличии (отсутствии) ранее возникшего права собственности на объект недвижимости, нотариально удостоверенное согласие супруга дарителя на отчуждение недвижимого имущества по договору дарения.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b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Нотариус проверит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,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соотве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тствует ли содержание сделки действительным намерениям сторон, не противоречит ли сделка требованиям, установленным действующим законодательством, отсутствуют ли ограничения, обременения в отношении отчуждаемого имущества, а также иные обстоятельства, преп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ятствующие совершению договора  в соответствии со статьями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 54, 55 Основ законодательства Российской Федерации о нотариа</w:t>
      </w:r>
      <w:r>
        <w:rPr>
          <w:rFonts w:ascii="Tinos" w:hAnsi="Tinos" w:eastAsia="Tinos" w:cs="Tinos"/>
          <w:i/>
          <w:color w:val="262626"/>
          <w:sz w:val="28"/>
          <w:szCs w:val="28"/>
        </w:rPr>
        <w:t xml:space="preserve">те»,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– </w:t>
      </w:r>
      <w:r>
        <w:rPr>
          <w:rFonts w:ascii="Tinos" w:hAnsi="Tinos" w:eastAsia="Tinos" w:cs="Tinos"/>
          <w:sz w:val="28"/>
          <w:szCs w:val="28"/>
        </w:rPr>
        <w:t xml:space="preserve">прокомментировала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вице-президент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Нотариальной палаты Омской области, член Общественного совета при Управлении Росреестра по Омской области </w:t>
      </w:r>
      <w:r>
        <w:rPr>
          <w:rFonts w:ascii="Tinos" w:hAnsi="Tinos" w:eastAsia="Tinos" w:cs="Tinos"/>
          <w:b/>
          <w:color w:val="262626"/>
          <w:sz w:val="28"/>
          <w:szCs w:val="28"/>
        </w:rPr>
        <w:t xml:space="preserve">Ирина Козырина</w:t>
      </w:r>
      <w:r>
        <w:rPr>
          <w:rFonts w:ascii="Tinos" w:hAnsi="Tinos" w:eastAsia="Tinos" w:cs="Tinos"/>
          <w:b/>
          <w:color w:val="262626"/>
          <w:sz w:val="28"/>
          <w:szCs w:val="28"/>
        </w:rPr>
        <w:t xml:space="preserve">.</w:t>
      </w:r>
      <w:r>
        <w:rPr>
          <w:rFonts w:ascii="Tinos" w:hAnsi="Tinos" w:cs="Tinos"/>
          <w:b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Государственная ре</w:t>
      </w:r>
      <w:r>
        <w:rPr>
          <w:rFonts w:ascii="Tinos" w:hAnsi="Tinos" w:eastAsia="Tinos" w:cs="Tinos"/>
          <w:sz w:val="28"/>
          <w:szCs w:val="28"/>
        </w:rPr>
        <w:t xml:space="preserve">гистрация права собственности, возникшего на основании нотариально удостоверенного договора дарения, может быть осуществлена по заявлению любой стороны такого договора либо по заявлению нотариуса или его работника, уполномоченного в порядке, установленном </w:t>
      </w:r>
      <w:hyperlink r:id="rId11" w:tooltip="consultantplus://offline/ref=021CDCB2C96945DB55B27D90682661E2A019E67C0799A6192FF80666BAo12BD" w:history="1">
        <w:r>
          <w:rPr>
            <w:rFonts w:ascii="Tinos" w:hAnsi="Tinos" w:eastAsia="Tinos" w:cs="Tinos"/>
            <w:sz w:val="28"/>
            <w:szCs w:val="28"/>
          </w:rPr>
          <w:t xml:space="preserve">Основами</w:t>
        </w:r>
      </w:hyperlink>
      <w:r>
        <w:rPr>
          <w:rFonts w:ascii="Tinos" w:hAnsi="Tinos" w:eastAsia="Tinos" w:cs="Tinos"/>
          <w:sz w:val="28"/>
          <w:szCs w:val="28"/>
        </w:rPr>
        <w:t xml:space="preserve"> законодательства Российской Федерации о нотариате (статья 15 Федерального закона от 13.07.2015 № 218-ФЗ «О государственной регистрации недвижимости» (далее – Закон № 218-ФЗ)).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contextualSpacing/>
        <w:ind w:firstLine="720"/>
        <w:jc w:val="both"/>
        <w:spacing w:after="0"/>
        <w:shd w:val="clear" w:color="ffffff" w:fill="ffffff"/>
        <w:rPr>
          <w:rFonts w:ascii="Tinos" w:hAnsi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При осуществл</w:t>
      </w:r>
      <w:r>
        <w:rPr>
          <w:rFonts w:ascii="Tinos" w:hAnsi="Tinos" w:eastAsia="Tinos" w:cs="Tinos"/>
          <w:sz w:val="28"/>
          <w:szCs w:val="28"/>
        </w:rPr>
        <w:t xml:space="preserve">ении государственной регистрации прав на недвижимое имущество на основании нотариально удостоверенной сделки, проверка законности такого нотариально удостоверенного документа государственным регистратором прав не осуществляется (статья 59 Закона № 218-ФЗ).</w:t>
      </w:r>
      <w:r>
        <w:rPr>
          <w:rFonts w:ascii="Tinos" w:hAnsi="Tinos" w:cs="Tinos"/>
          <w:color w:val="262626"/>
          <w:sz w:val="28"/>
          <w:szCs w:val="28"/>
        </w:rPr>
      </w:r>
    </w:p>
    <w:p>
      <w:pPr>
        <w:ind w:firstLine="709"/>
        <w:jc w:val="both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9"/>
        <w:jc w:val="right"/>
        <w:rPr>
          <w:rFonts w:ascii="Tinos" w:hAnsi="Tinos" w:eastAsia="Tinos" w:cs="Tinos"/>
          <w:color w:val="262626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Пресс-служба Управления Росреестра по Омской области</w:t>
      </w:r>
      <w:r>
        <w:rPr>
          <w:rFonts w:ascii="Tinos" w:hAnsi="Tinos" w:eastAsia="Tinos" w:cs="Tinos"/>
          <w:color w:val="262626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nos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5" w:hanging="3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5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nos" w:cs="Tino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3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6"/>
  </w:num>
  <w:num w:numId="14">
    <w:abstractNumId w:val="18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4"/>
    <w:uiPriority w:val="10"/>
    <w:rPr>
      <w:sz w:val="48"/>
      <w:szCs w:val="48"/>
    </w:rPr>
  </w:style>
  <w:style w:type="character" w:styleId="37">
    <w:name w:val="Subtitle Char"/>
    <w:basedOn w:val="701"/>
    <w:link w:val="716"/>
    <w:uiPriority w:val="11"/>
    <w:rPr>
      <w:sz w:val="24"/>
      <w:szCs w:val="24"/>
    </w:rPr>
  </w:style>
  <w:style w:type="character" w:styleId="39">
    <w:name w:val="Quote Char"/>
    <w:link w:val="718"/>
    <w:uiPriority w:val="29"/>
    <w:rPr>
      <w:i/>
    </w:rPr>
  </w:style>
  <w:style w:type="character" w:styleId="41">
    <w:name w:val="Intense Quote Char"/>
    <w:link w:val="720"/>
    <w:uiPriority w:val="30"/>
    <w:rPr>
      <w:i/>
    </w:rPr>
  </w:style>
  <w:style w:type="character" w:styleId="43">
    <w:name w:val="Header Char"/>
    <w:basedOn w:val="701"/>
    <w:link w:val="722"/>
    <w:uiPriority w:val="99"/>
  </w:style>
  <w:style w:type="character" w:styleId="47">
    <w:name w:val="Caption Char"/>
    <w:basedOn w:val="726"/>
    <w:link w:val="724"/>
    <w:uiPriority w:val="99"/>
  </w:style>
  <w:style w:type="character" w:styleId="176">
    <w:name w:val="Footnote Text Char"/>
    <w:link w:val="855"/>
    <w:uiPriority w:val="99"/>
    <w:rPr>
      <w:sz w:val="18"/>
    </w:rPr>
  </w:style>
  <w:style w:type="character" w:styleId="179">
    <w:name w:val="Endnote Text Char"/>
    <w:link w:val="858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91"/>
    <w:next w:val="691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701"/>
    <w:link w:val="714"/>
    <w:uiPriority w:val="10"/>
    <w:rPr>
      <w:sz w:val="48"/>
      <w:szCs w:val="48"/>
    </w:rPr>
  </w:style>
  <w:style w:type="paragraph" w:styleId="716">
    <w:name w:val="Subtitle"/>
    <w:basedOn w:val="691"/>
    <w:next w:val="691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701"/>
    <w:link w:val="716"/>
    <w:uiPriority w:val="11"/>
    <w:rPr>
      <w:sz w:val="24"/>
      <w:szCs w:val="24"/>
    </w:rPr>
  </w:style>
  <w:style w:type="paragraph" w:styleId="718">
    <w:name w:val="Quote"/>
    <w:basedOn w:val="691"/>
    <w:next w:val="691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1"/>
    <w:next w:val="691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701"/>
    <w:link w:val="722"/>
    <w:uiPriority w:val="99"/>
  </w:style>
  <w:style w:type="paragraph" w:styleId="724">
    <w:name w:val="Footer"/>
    <w:basedOn w:val="69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701"/>
    <w:uiPriority w:val="99"/>
  </w:style>
  <w:style w:type="paragraph" w:styleId="72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Нижний колонтитул Знак"/>
    <w:link w:val="724"/>
    <w:uiPriority w:val="99"/>
  </w:style>
  <w:style w:type="table" w:styleId="728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91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1"/>
    <w:uiPriority w:val="99"/>
    <w:unhideWhenUsed/>
    <w:rPr>
      <w:vertAlign w:val="superscript"/>
    </w:rPr>
  </w:style>
  <w:style w:type="paragraph" w:styleId="858">
    <w:name w:val="endnote text"/>
    <w:basedOn w:val="691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1"/>
    <w:uiPriority w:val="99"/>
    <w:semiHidden/>
    <w:unhideWhenUsed/>
    <w:rPr>
      <w:vertAlign w:val="superscript"/>
    </w:rPr>
  </w:style>
  <w:style w:type="paragraph" w:styleId="861">
    <w:name w:val="toc 1"/>
    <w:basedOn w:val="691"/>
    <w:next w:val="691"/>
    <w:uiPriority w:val="39"/>
    <w:unhideWhenUsed/>
    <w:pPr>
      <w:spacing w:after="57"/>
    </w:pPr>
  </w:style>
  <w:style w:type="paragraph" w:styleId="862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3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4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5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6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7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8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9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1"/>
    <w:next w:val="691"/>
    <w:uiPriority w:val="99"/>
    <w:unhideWhenUsed/>
    <w:pPr>
      <w:spacing w:after="0"/>
    </w:pPr>
  </w:style>
  <w:style w:type="paragraph" w:styleId="872">
    <w:name w:val="List Paragraph"/>
    <w:basedOn w:val="691"/>
    <w:uiPriority w:val="34"/>
    <w:qFormat/>
    <w:pPr>
      <w:contextualSpacing/>
      <w:ind w:left="720"/>
    </w:pPr>
  </w:style>
  <w:style w:type="paragraph" w:styleId="87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874">
    <w:name w:val="Balloon Text"/>
    <w:basedOn w:val="69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701"/>
    <w:link w:val="87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021CDCB2C96945DB55B27D90682661E2A019E67C0799A6192FF80666BAo12B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6782-E202-4974-8308-FA8215A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Наталья Геннадьевна</dc:creator>
  <cp:keywords/>
  <dc:description/>
  <cp:revision>36</cp:revision>
  <dcterms:created xsi:type="dcterms:W3CDTF">2024-12-05T03:23:00Z</dcterms:created>
  <dcterms:modified xsi:type="dcterms:W3CDTF">2025-01-22T02:47:25Z</dcterms:modified>
</cp:coreProperties>
</file>