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2"/>
      </w:pPr>
      <w:r/>
      <w:r/>
    </w:p>
    <w:p>
      <w:pPr>
        <w:pStyle w:val="833"/>
      </w:pPr>
      <w:r>
        <w:t xml:space="preserve">Прямая (горячая) линия</w:t>
      </w:r>
      <w:r/>
    </w:p>
    <w:p>
      <w:pPr>
        <w:pStyle w:val="832"/>
        <w:jc w:val="center"/>
        <w:rPr>
          <w:b/>
          <w:sz w:val="28"/>
        </w:rPr>
      </w:pPr>
      <w:r>
        <w:rPr>
          <w:b/>
          <w:sz w:val="28"/>
        </w:rPr>
        <w:t xml:space="preserve">по вопросам государственной регистрации прав </w:t>
      </w:r>
      <w:r>
        <w:rPr>
          <w:b/>
          <w:sz w:val="28"/>
        </w:rPr>
      </w:r>
      <w:r>
        <w:rPr>
          <w:b/>
          <w:sz w:val="28"/>
        </w:rPr>
      </w:r>
    </w:p>
    <w:p>
      <w:pPr>
        <w:pStyle w:val="832"/>
        <w:jc w:val="center"/>
        <w:rPr>
          <w:b/>
          <w:sz w:val="28"/>
        </w:rPr>
      </w:pPr>
      <w:r>
        <w:rPr>
          <w:b/>
          <w:sz w:val="28"/>
        </w:rPr>
        <w:t xml:space="preserve">на недвижимое имущество и сделок с ним</w:t>
      </w:r>
      <w:r>
        <w:rPr>
          <w:b/>
          <w:sz w:val="28"/>
        </w:rPr>
      </w:r>
      <w:r>
        <w:rPr>
          <w:b/>
          <w:sz w:val="28"/>
        </w:rPr>
      </w:r>
    </w:p>
    <w:p>
      <w:pPr>
        <w:pStyle w:val="832"/>
        <w:ind w:firstLine="708"/>
        <w:jc w:val="both"/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pStyle w:val="832"/>
        <w:ind w:firstLine="708"/>
        <w:jc w:val="both"/>
        <w:rPr>
          <w:sz w:val="28"/>
        </w:rPr>
      </w:pPr>
      <w:r>
        <w:rPr>
          <w:sz w:val="28"/>
        </w:rPr>
        <w:t xml:space="preserve">2</w:t>
      </w:r>
      <w:r>
        <w:rPr>
          <w:sz w:val="28"/>
        </w:rPr>
        <w:t xml:space="preserve">7</w:t>
      </w:r>
      <w:r>
        <w:rPr>
          <w:sz w:val="28"/>
        </w:rPr>
        <w:t xml:space="preserve"> марта 202</w:t>
      </w:r>
      <w:r>
        <w:rPr>
          <w:sz w:val="28"/>
        </w:rPr>
        <w:t xml:space="preserve">5 года с 10-00 до 12-00 Горьковский сектор межмуниципального Муромцевского отдела Управления Росреестра по Омской области проводит «прямую (горячую) линию» по вопросам государственной регистрации прав и кадастровому учёту объектов недвижимости. </w:t>
      </w:r>
      <w:r>
        <w:rPr>
          <w:sz w:val="28"/>
        </w:rPr>
      </w:r>
      <w:r>
        <w:rPr>
          <w:sz w:val="28"/>
        </w:rPr>
      </w:r>
    </w:p>
    <w:p>
      <w:pPr>
        <w:pStyle w:val="832"/>
        <w:ind w:firstLine="708"/>
        <w:jc w:val="both"/>
        <w:rPr>
          <w:sz w:val="28"/>
        </w:rPr>
      </w:pPr>
      <w:r>
        <w:rPr>
          <w:sz w:val="28"/>
        </w:rPr>
        <w:t xml:space="preserve">Телефон для вопросов специалистам 8 (38157) 21-272.</w:t>
      </w:r>
      <w:r>
        <w:rPr>
          <w:sz w:val="28"/>
        </w:rPr>
      </w:r>
      <w:r>
        <w:rPr>
          <w:sz w:val="28"/>
        </w:rPr>
      </w:r>
    </w:p>
    <w:p>
      <w:pPr>
        <w:pStyle w:val="832"/>
        <w:ind w:firstLine="708"/>
        <w:jc w:val="both"/>
        <w:rPr>
          <w:sz w:val="28"/>
        </w:rPr>
      </w:pPr>
      <w:r>
        <w:rPr>
          <w:sz w:val="28"/>
        </w:rPr>
        <w:t xml:space="preserve">Вопросы можно задавать заранее по указанному телефону. </w:t>
      </w:r>
      <w:r>
        <w:rPr>
          <w:sz w:val="28"/>
        </w:rPr>
      </w:r>
      <w:r>
        <w:rPr>
          <w:sz w:val="28"/>
        </w:rPr>
      </w:r>
    </w:p>
    <w:p>
      <w:pPr>
        <w:pStyle w:val="832"/>
        <w:ind w:firstLine="708"/>
        <w:jc w:val="both"/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pStyle w:val="832"/>
        <w:ind w:firstLine="708"/>
        <w:jc w:val="both"/>
        <w:rPr>
          <w:sz w:val="32"/>
        </w:rPr>
      </w:pPr>
      <w:r>
        <w:rPr>
          <w:sz w:val="32"/>
        </w:rPr>
      </w:r>
      <w:r>
        <w:rPr>
          <w:sz w:val="32"/>
        </w:rPr>
      </w:r>
      <w:r>
        <w:rPr>
          <w:sz w:val="32"/>
        </w:rPr>
      </w:r>
    </w:p>
    <w:p>
      <w:pPr>
        <w:pStyle w:val="832"/>
        <w:jc w:val="center"/>
        <w:rPr>
          <w:b/>
          <w:sz w:val="28"/>
        </w:rPr>
      </w:pPr>
      <w:r>
        <w:rPr>
          <w:b/>
          <w:sz w:val="28"/>
        </w:rPr>
        <w:t xml:space="preserve">Прямая (горячая) линия</w:t>
      </w:r>
      <w:r>
        <w:rPr>
          <w:b/>
          <w:sz w:val="28"/>
        </w:rPr>
      </w:r>
      <w:r>
        <w:rPr>
          <w:b/>
          <w:sz w:val="28"/>
        </w:rPr>
      </w:r>
    </w:p>
    <w:p>
      <w:pPr>
        <w:pStyle w:val="832"/>
        <w:jc w:val="center"/>
        <w:rPr>
          <w:b/>
          <w:sz w:val="28"/>
        </w:rPr>
      </w:pPr>
      <w:r>
        <w:rPr>
          <w:b/>
          <w:sz w:val="28"/>
        </w:rPr>
        <w:t xml:space="preserve">по вопросам государственного земельного надзора</w:t>
      </w:r>
      <w:r>
        <w:rPr>
          <w:b/>
          <w:sz w:val="28"/>
        </w:rPr>
      </w:r>
      <w:r>
        <w:rPr>
          <w:b/>
          <w:sz w:val="28"/>
        </w:rPr>
      </w:r>
    </w:p>
    <w:p>
      <w:pPr>
        <w:pStyle w:val="832"/>
        <w:ind w:firstLine="708"/>
        <w:jc w:val="both"/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pStyle w:val="832"/>
        <w:ind w:firstLine="709"/>
        <w:jc w:val="both"/>
        <w:rPr>
          <w:bCs/>
          <w:sz w:val="28"/>
        </w:rPr>
      </w:pPr>
      <w:r>
        <w:rPr>
          <w:sz w:val="28"/>
        </w:rPr>
        <w:t xml:space="preserve">В целях профилактики земельных правонарушений Горьковский сектор межмуниципального Муромцевского отдела Управления Росреестра по Омской области </w:t>
      </w:r>
      <w:r>
        <w:rPr>
          <w:sz w:val="28"/>
        </w:rPr>
        <w:t xml:space="preserve">2</w:t>
      </w:r>
      <w:r>
        <w:rPr>
          <w:sz w:val="28"/>
        </w:rPr>
        <w:t xml:space="preserve">8 марта </w:t>
      </w:r>
      <w:r>
        <w:rPr>
          <w:sz w:val="28"/>
        </w:rPr>
        <w:t xml:space="preserve">202</w:t>
      </w:r>
      <w:r>
        <w:rPr>
          <w:sz w:val="28"/>
        </w:rPr>
        <w:t xml:space="preserve">5 года с 10-00 до 12-00 проводит «прямую (горячую) линию» по вопросам осуществления государственного земельного </w:t>
      </w:r>
      <w:r>
        <w:rPr>
          <w:sz w:val="28"/>
        </w:rPr>
        <w:t xml:space="preserve">контроля </w:t>
      </w:r>
      <w:r>
        <w:rPr>
          <w:sz w:val="28"/>
        </w:rPr>
        <w:t xml:space="preserve">(правовые основания и порядок проведения контрольно-надзорных мероприятий, права и обязанности подконтрольных субъектов, порядок отнесения подконтрольных субъектов к категории среднего и умеренного риска и т.п.), </w:t>
      </w:r>
      <w:r>
        <w:rPr>
          <w:bCs/>
          <w:sz w:val="28"/>
          <w:szCs w:val="28"/>
        </w:rPr>
        <w:t xml:space="preserve">о применении риск-ориентированного подхода при организации государственного земельного </w:t>
      </w:r>
      <w:r>
        <w:rPr>
          <w:bCs/>
          <w:sz w:val="28"/>
          <w:szCs w:val="28"/>
        </w:rPr>
        <w:t xml:space="preserve">контроля (</w:t>
      </w:r>
      <w:r>
        <w:rPr>
          <w:bCs/>
          <w:sz w:val="28"/>
          <w:szCs w:val="28"/>
        </w:rPr>
        <w:t xml:space="preserve">надзора</w:t>
      </w:r>
      <w:r>
        <w:rPr>
          <w:bCs/>
          <w:sz w:val="28"/>
          <w:szCs w:val="28"/>
        </w:rPr>
        <w:t xml:space="preserve">)</w:t>
      </w:r>
      <w:r>
        <w:rPr>
          <w:bCs/>
          <w:sz w:val="28"/>
          <w:szCs w:val="28"/>
        </w:rPr>
        <w:t xml:space="preserve">, особенности осуществления контрольных (надзорных) мероприятий в 202</w:t>
      </w:r>
      <w:r>
        <w:rPr>
          <w:bCs/>
          <w:sz w:val="28"/>
          <w:szCs w:val="28"/>
        </w:rPr>
        <w:t xml:space="preserve">5 году.</w:t>
      </w:r>
      <w:r>
        <w:rPr>
          <w:bCs/>
          <w:sz w:val="28"/>
        </w:rPr>
      </w:r>
      <w:r>
        <w:rPr>
          <w:bCs/>
          <w:sz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highlight w:val="none"/>
        </w:rPr>
      </w:r>
      <w:r>
        <w:rPr>
          <w:sz w:val="28"/>
          <w:highlight w:val="none"/>
        </w:rPr>
      </w:r>
    </w:p>
    <w:p>
      <w:pPr>
        <w:pStyle w:val="832"/>
        <w:ind w:firstLine="709"/>
        <w:jc w:val="both"/>
        <w:rPr>
          <w:sz w:val="28"/>
          <w:szCs w:val="28"/>
          <w:highlight w:val="none"/>
        </w:rPr>
      </w:pPr>
      <w:r>
        <w:rPr>
          <w:sz w:val="28"/>
        </w:rPr>
        <w:t xml:space="preserve">Телефон для вопросов специалистам 8 (38157) 21-272.</w:t>
      </w:r>
      <w:r>
        <w:rPr>
          <w:sz w:val="28"/>
        </w:rPr>
      </w:r>
      <w:r>
        <w:rPr>
          <w:sz w:val="28"/>
          <w:szCs w:val="28"/>
          <w:highlight w:val="none"/>
        </w:rPr>
      </w:r>
    </w:p>
    <w:p>
      <w:pPr>
        <w:pStyle w:val="832"/>
        <w:ind w:firstLine="709"/>
        <w:jc w:val="both"/>
        <w:rPr>
          <w:sz w:val="32"/>
        </w:rPr>
      </w:pPr>
      <w:r>
        <w:rPr>
          <w:sz w:val="28"/>
        </w:rPr>
        <w:t xml:space="preserve">Вопросы можно задавать заранее по указанному телефону.</w:t>
      </w:r>
      <w:r>
        <w:rPr>
          <w:sz w:val="32"/>
        </w:rPr>
      </w:r>
      <w:r>
        <w:rPr>
          <w:sz w:val="32"/>
        </w:rPr>
      </w:r>
      <w:r>
        <w:rPr>
          <w:sz w:val="28"/>
        </w:rPr>
      </w:r>
      <w:r>
        <w:rPr>
          <w:sz w:val="28"/>
        </w:rPr>
      </w:r>
      <w:r>
        <w:rPr>
          <w:sz w:val="28"/>
        </w:rPr>
      </w:r>
      <w:r>
        <w:rPr>
          <w:sz w:val="32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2"/>
    <w:next w:val="832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2"/>
    <w:next w:val="832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2"/>
    <w:next w:val="832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2"/>
    <w:next w:val="832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2"/>
    <w:next w:val="832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2"/>
    <w:next w:val="832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2"/>
    <w:next w:val="832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2"/>
    <w:next w:val="832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2"/>
    <w:next w:val="832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2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2"/>
    <w:next w:val="832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link w:val="674"/>
    <w:uiPriority w:val="10"/>
    <w:rPr>
      <w:sz w:val="48"/>
      <w:szCs w:val="48"/>
    </w:rPr>
  </w:style>
  <w:style w:type="paragraph" w:styleId="676">
    <w:name w:val="Subtitle"/>
    <w:basedOn w:val="832"/>
    <w:next w:val="832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link w:val="676"/>
    <w:uiPriority w:val="11"/>
    <w:rPr>
      <w:sz w:val="24"/>
      <w:szCs w:val="24"/>
    </w:rPr>
  </w:style>
  <w:style w:type="paragraph" w:styleId="678">
    <w:name w:val="Quote"/>
    <w:basedOn w:val="832"/>
    <w:next w:val="832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2"/>
    <w:next w:val="832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2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link w:val="682"/>
    <w:uiPriority w:val="99"/>
  </w:style>
  <w:style w:type="paragraph" w:styleId="684">
    <w:name w:val="Footer"/>
    <w:basedOn w:val="832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link w:val="684"/>
    <w:uiPriority w:val="99"/>
  </w:style>
  <w:style w:type="paragraph" w:styleId="686">
    <w:name w:val="Caption"/>
    <w:basedOn w:val="832"/>
    <w:next w:val="83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4">
    <w:name w:val="Hyperlink"/>
    <w:uiPriority w:val="99"/>
    <w:unhideWhenUsed/>
    <w:rPr>
      <w:color w:val="0000ff" w:themeColor="hyperlink"/>
      <w:u w:val="single"/>
    </w:rPr>
  </w:style>
  <w:style w:type="paragraph" w:styleId="815">
    <w:name w:val="footnote text"/>
    <w:basedOn w:val="832"/>
    <w:link w:val="816"/>
    <w:uiPriority w:val="99"/>
    <w:semiHidden/>
    <w:unhideWhenUsed/>
    <w:pPr>
      <w:spacing w:after="40" w:line="240" w:lineRule="auto"/>
    </w:pPr>
    <w:rPr>
      <w:sz w:val="18"/>
    </w:rPr>
  </w:style>
  <w:style w:type="character" w:styleId="816">
    <w:name w:val="Footnote Text Char"/>
    <w:link w:val="815"/>
    <w:uiPriority w:val="99"/>
    <w:rPr>
      <w:sz w:val="18"/>
    </w:rPr>
  </w:style>
  <w:style w:type="character" w:styleId="817">
    <w:name w:val="footnote reference"/>
    <w:uiPriority w:val="99"/>
    <w:unhideWhenUsed/>
    <w:rPr>
      <w:vertAlign w:val="superscript"/>
    </w:rPr>
  </w:style>
  <w:style w:type="paragraph" w:styleId="818">
    <w:name w:val="endnote text"/>
    <w:basedOn w:val="832"/>
    <w:link w:val="819"/>
    <w:uiPriority w:val="99"/>
    <w:semiHidden/>
    <w:unhideWhenUsed/>
    <w:pPr>
      <w:spacing w:after="0" w:line="240" w:lineRule="auto"/>
    </w:pPr>
    <w:rPr>
      <w:sz w:val="20"/>
    </w:rPr>
  </w:style>
  <w:style w:type="character" w:styleId="819">
    <w:name w:val="Endnote Text Char"/>
    <w:link w:val="818"/>
    <w:uiPriority w:val="99"/>
    <w:rPr>
      <w:sz w:val="20"/>
    </w:rPr>
  </w:style>
  <w:style w:type="character" w:styleId="820">
    <w:name w:val="endnote reference"/>
    <w:uiPriority w:val="99"/>
    <w:semiHidden/>
    <w:unhideWhenUsed/>
    <w:rPr>
      <w:vertAlign w:val="superscript"/>
    </w:rPr>
  </w:style>
  <w:style w:type="paragraph" w:styleId="821">
    <w:name w:val="toc 1"/>
    <w:basedOn w:val="832"/>
    <w:next w:val="832"/>
    <w:uiPriority w:val="39"/>
    <w:unhideWhenUsed/>
    <w:pPr>
      <w:ind w:left="0" w:right="0" w:firstLine="0"/>
      <w:spacing w:after="57"/>
    </w:pPr>
  </w:style>
  <w:style w:type="paragraph" w:styleId="822">
    <w:name w:val="toc 2"/>
    <w:basedOn w:val="832"/>
    <w:next w:val="832"/>
    <w:uiPriority w:val="39"/>
    <w:unhideWhenUsed/>
    <w:pPr>
      <w:ind w:left="283" w:right="0" w:firstLine="0"/>
      <w:spacing w:after="57"/>
    </w:pPr>
  </w:style>
  <w:style w:type="paragraph" w:styleId="823">
    <w:name w:val="toc 3"/>
    <w:basedOn w:val="832"/>
    <w:next w:val="832"/>
    <w:uiPriority w:val="39"/>
    <w:unhideWhenUsed/>
    <w:pPr>
      <w:ind w:left="567" w:right="0" w:firstLine="0"/>
      <w:spacing w:after="57"/>
    </w:pPr>
  </w:style>
  <w:style w:type="paragraph" w:styleId="824">
    <w:name w:val="toc 4"/>
    <w:basedOn w:val="832"/>
    <w:next w:val="832"/>
    <w:uiPriority w:val="39"/>
    <w:unhideWhenUsed/>
    <w:pPr>
      <w:ind w:left="850" w:right="0" w:firstLine="0"/>
      <w:spacing w:after="57"/>
    </w:pPr>
  </w:style>
  <w:style w:type="paragraph" w:styleId="825">
    <w:name w:val="toc 5"/>
    <w:basedOn w:val="832"/>
    <w:next w:val="832"/>
    <w:uiPriority w:val="39"/>
    <w:unhideWhenUsed/>
    <w:pPr>
      <w:ind w:left="1134" w:right="0" w:firstLine="0"/>
      <w:spacing w:after="57"/>
    </w:pPr>
  </w:style>
  <w:style w:type="paragraph" w:styleId="826">
    <w:name w:val="toc 6"/>
    <w:basedOn w:val="832"/>
    <w:next w:val="832"/>
    <w:uiPriority w:val="39"/>
    <w:unhideWhenUsed/>
    <w:pPr>
      <w:ind w:left="1417" w:right="0" w:firstLine="0"/>
      <w:spacing w:after="57"/>
    </w:pPr>
  </w:style>
  <w:style w:type="paragraph" w:styleId="827">
    <w:name w:val="toc 7"/>
    <w:basedOn w:val="832"/>
    <w:next w:val="832"/>
    <w:uiPriority w:val="39"/>
    <w:unhideWhenUsed/>
    <w:pPr>
      <w:ind w:left="1701" w:right="0" w:firstLine="0"/>
      <w:spacing w:after="57"/>
    </w:pPr>
  </w:style>
  <w:style w:type="paragraph" w:styleId="828">
    <w:name w:val="toc 8"/>
    <w:basedOn w:val="832"/>
    <w:next w:val="832"/>
    <w:uiPriority w:val="39"/>
    <w:unhideWhenUsed/>
    <w:pPr>
      <w:ind w:left="1984" w:right="0" w:firstLine="0"/>
      <w:spacing w:after="57"/>
    </w:pPr>
  </w:style>
  <w:style w:type="paragraph" w:styleId="829">
    <w:name w:val="toc 9"/>
    <w:basedOn w:val="832"/>
    <w:next w:val="832"/>
    <w:uiPriority w:val="39"/>
    <w:unhideWhenUsed/>
    <w:pPr>
      <w:ind w:left="2268" w:right="0" w:firstLine="0"/>
      <w:spacing w:after="57"/>
    </w:pPr>
  </w:style>
  <w:style w:type="paragraph" w:styleId="830">
    <w:name w:val="TOC Heading"/>
    <w:uiPriority w:val="39"/>
    <w:unhideWhenUsed/>
  </w:style>
  <w:style w:type="paragraph" w:styleId="831">
    <w:name w:val="table of figures"/>
    <w:basedOn w:val="832"/>
    <w:next w:val="832"/>
    <w:uiPriority w:val="99"/>
    <w:unhideWhenUsed/>
    <w:pPr>
      <w:spacing w:after="0" w:afterAutospacing="0"/>
    </w:pPr>
  </w:style>
  <w:style w:type="paragraph" w:styleId="832" w:default="1">
    <w:name w:val="Normal"/>
    <w:next w:val="832"/>
    <w:link w:val="832"/>
    <w:qFormat/>
    <w:rPr>
      <w:sz w:val="24"/>
      <w:szCs w:val="24"/>
      <w:lang w:val="ru-RU" w:eastAsia="ru-RU" w:bidi="ar-SA"/>
    </w:rPr>
  </w:style>
  <w:style w:type="paragraph" w:styleId="833">
    <w:name w:val="Заголовок 1"/>
    <w:basedOn w:val="832"/>
    <w:next w:val="832"/>
    <w:link w:val="832"/>
    <w:qFormat/>
    <w:pPr>
      <w:jc w:val="center"/>
      <w:keepNext/>
      <w:outlineLvl w:val="0"/>
    </w:pPr>
    <w:rPr>
      <w:b/>
      <w:sz w:val="28"/>
    </w:rPr>
  </w:style>
  <w:style w:type="character" w:styleId="834">
    <w:name w:val="Основной шрифт абзаца"/>
    <w:next w:val="834"/>
    <w:link w:val="832"/>
    <w:semiHidden/>
  </w:style>
  <w:style w:type="table" w:styleId="835">
    <w:name w:val="Обычная таблица"/>
    <w:next w:val="835"/>
    <w:link w:val="832"/>
    <w:uiPriority w:val="99"/>
    <w:semiHidden/>
    <w:unhideWhenUsed/>
    <w:tblPr/>
  </w:style>
  <w:style w:type="numbering" w:styleId="836">
    <w:name w:val="Нет списка"/>
    <w:next w:val="836"/>
    <w:link w:val="832"/>
    <w:uiPriority w:val="99"/>
    <w:semiHidden/>
    <w:unhideWhenUsed/>
  </w:style>
  <w:style w:type="paragraph" w:styleId="837">
    <w:name w:val="Знак Знак Знак Знак Знак Знак Знак Знак Знак Знак"/>
    <w:basedOn w:val="832"/>
    <w:next w:val="837"/>
    <w:link w:val="832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838" w:default="1">
    <w:name w:val="Default Paragraph Font"/>
    <w:uiPriority w:val="1"/>
    <w:semiHidden/>
    <w:unhideWhenUsed/>
  </w:style>
  <w:style w:type="numbering" w:styleId="839" w:default="1">
    <w:name w:val="No List"/>
    <w:uiPriority w:val="99"/>
    <w:semiHidden/>
    <w:unhideWhenUsed/>
  </w:style>
  <w:style w:type="table" w:styleId="840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Роснедвижимость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19 ноября 2015 года с 10-00 до 12-00 межмуниципальный отдел по Нижнеомскому и Горьковскому районам Управления Росреестра по Омской области совместно с редакцией газеты «Горьковский вестник» проводит «горячую линию» по вопросам государственной регистрации</dc:title>
  <dc:creator>USER</dc:creator>
  <cp:revision>28</cp:revision>
  <dcterms:created xsi:type="dcterms:W3CDTF">2016-12-06T10:48:00Z</dcterms:created>
  <dcterms:modified xsi:type="dcterms:W3CDTF">2025-03-17T03:30:40Z</dcterms:modified>
  <cp:version>983040</cp:version>
</cp:coreProperties>
</file>