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left"/>
        <w:spacing w:before="0" w:after="0" w:line="283" w:lineRule="atLeast"/>
        <w:rPr>
          <w:rFonts w:ascii="Times New Roman" w:hAnsi="Times New Roman" w:eastAsia="Tinos" w:cs="Times New Roman"/>
          <w:b/>
          <w:bCs/>
          <w:sz w:val="28"/>
          <w:szCs w:val="28"/>
        </w:rPr>
        <w:suppressLineNumbers w:val="0"/>
      </w:pPr>
      <w:r>
        <w:rPr>
          <w:rFonts w:ascii="Calibri" w:hAnsi="Calibri" w:eastAsia="Calibri" w:cs="Times New Roman"/>
          <w:b/>
          <w:color w:val="292c2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049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7289429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1104899" cy="981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0.00pt;mso-position-horizontal:absolute;mso-position-vertical-relative:text;margin-top:-0.05pt;mso-position-vertical:absolute;width:87.00pt;height:77.25pt;mso-wrap-distance-left:9.00pt;mso-wrap-distance-top:0.00pt;mso-wrap-distance-right:9.00pt;mso-wrap-distance-bottom:0.00pt;rotation:0;" stroked="false">
                <v:path textboxrect="0,0,0,0"/>
                <v:imagedata r:id="rId8" o:title=""/>
              </v:shape>
            </w:pict>
          </mc:Fallback>
        </mc:AlternateContent>
        <w:t xml:space="preserve">                               </w:t>
      </w:r>
      <w:r>
        <w:rPr>
          <w:rFonts w:ascii="Calibri" w:hAnsi="Calibri" w:eastAsia="Calibri" w:cs="Times New Roman"/>
          <w:b/>
          <w:color w:val="292c2f"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b/>
          <w:sz w:val="28"/>
          <w:szCs w:val="28"/>
        </w:rPr>
        <w:t xml:space="preserve">Омский Росреестр сообщает о передаче</w:t>
      </w:r>
      <w:r>
        <w:rPr>
          <w:rFonts w:ascii="Times New Roman" w:hAnsi="Times New Roman" w:eastAsia="Tinos" w:cs="Times New Roman"/>
          <w:b/>
          <w:sz w:val="28"/>
          <w:szCs w:val="28"/>
        </w:rPr>
        <w:t xml:space="preserve"> оригиналов</w:t>
      </w:r>
      <w:r>
        <w:rPr>
          <w:rFonts w:ascii="Times New Roman" w:hAnsi="Times New Roman" w:eastAsia="Tinos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b/>
          <w:bCs/>
          <w:sz w:val="28"/>
          <w:szCs w:val="28"/>
        </w:rPr>
      </w:r>
    </w:p>
    <w:p>
      <w:pPr>
        <w:contextualSpacing/>
        <w:jc w:val="left"/>
        <w:spacing w:before="0" w:after="0" w:line="283" w:lineRule="atLeast"/>
        <w:rPr>
          <w:rFonts w:ascii="Times New Roman" w:hAnsi="Times New Roman" w:eastAsia="Tinos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nos" w:cs="Times New Roman"/>
          <w:b/>
          <w:sz w:val="28"/>
          <w:szCs w:val="28"/>
        </w:rPr>
        <w:t xml:space="preserve">                             правоустанавливающих</w:t>
      </w:r>
      <w:r>
        <w:rPr>
          <w:rFonts w:ascii="Times New Roman" w:hAnsi="Times New Roman" w:eastAsia="Tinos" w:cs="Times New Roman"/>
          <w:b/>
          <w:sz w:val="28"/>
          <w:szCs w:val="28"/>
        </w:rPr>
        <w:t xml:space="preserve"> документов на земельные участки</w:t>
      </w:r>
      <w:r>
        <w:rPr>
          <w:rFonts w:ascii="Times New Roman" w:hAnsi="Times New Roman" w:eastAsia="Tinos" w:cs="Times New Roman"/>
          <w:b/>
          <w:bCs/>
          <w:sz w:val="28"/>
          <w:szCs w:val="28"/>
        </w:rPr>
      </w:r>
      <w:r/>
    </w:p>
    <w:p>
      <w:pPr>
        <w:contextualSpacing/>
        <w:jc w:val="left"/>
        <w:spacing w:before="0" w:after="0" w:line="283" w:lineRule="atLeast"/>
        <w:rPr>
          <w:rFonts w:ascii="Times New Roman" w:hAnsi="Times New Roman" w:eastAsia="Tinos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nos" w:cs="Times New Roman"/>
          <w:b/>
          <w:sz w:val="28"/>
          <w:szCs w:val="28"/>
        </w:rPr>
        <w:t xml:space="preserve">                             старого образца</w:t>
      </w:r>
      <w:r>
        <w:rPr>
          <w:rFonts w:ascii="Times New Roman" w:hAnsi="Times New Roman" w:eastAsia="Tinos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b/>
          <w:sz w:val="28"/>
          <w:szCs w:val="28"/>
        </w:rPr>
        <w:t xml:space="preserve">в органы местного</w:t>
      </w:r>
      <w:r>
        <w:rPr>
          <w:rFonts w:ascii="Times New Roman" w:hAnsi="Times New Roman" w:eastAsia="Tinos" w:cs="Times New Roman"/>
          <w:b/>
          <w:sz w:val="28"/>
          <w:szCs w:val="28"/>
        </w:rPr>
        <w:t xml:space="preserve"> самоуправления</w:t>
      </w:r>
      <w:r/>
      <w:r>
        <w:rPr>
          <w:rFonts w:ascii="Times New Roman" w:hAnsi="Times New Roman" w:eastAsia="Tinos" w:cs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  <w:highlight w:val="none"/>
        </w:rPr>
      </w:r>
      <w:r>
        <w:rPr>
          <w:rFonts w:ascii="Times New Roman" w:hAnsi="Times New Roman" w:eastAsia="Tinos" w:cs="Times New Roman"/>
          <w:sz w:val="28"/>
          <w:szCs w:val="28"/>
          <w:highlight w:val="none"/>
        </w:rPr>
      </w:r>
    </w:p>
    <w:p>
      <w:pPr>
        <w:contextualSpacing w:val="0"/>
        <w:ind w:firstLine="567"/>
        <w:jc w:val="both"/>
        <w:spacing w:before="0" w:after="0" w:line="283" w:lineRule="atLeast"/>
        <w:rPr>
          <w:rFonts w:ascii="Times New Roman" w:hAnsi="Times New Roman" w:eastAsia="Tinos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nos" w:cs="Times New Roman"/>
          <w:sz w:val="28"/>
          <w:szCs w:val="28"/>
          <w:highlight w:val="none"/>
        </w:rPr>
      </w:r>
      <w:r>
        <w:rPr>
          <w:rFonts w:ascii="Times New Roman" w:hAnsi="Times New Roman" w:eastAsia="Tinos" w:cs="Times New Roman"/>
          <w:sz w:val="28"/>
          <w:szCs w:val="28"/>
          <w:highlight w:val="none"/>
        </w:rPr>
      </w:r>
    </w:p>
    <w:p>
      <w:pPr>
        <w:contextualSpacing w:val="0"/>
        <w:ind w:firstLine="567"/>
        <w:jc w:val="both"/>
        <w:spacing w:before="0" w:after="0" w:line="283" w:lineRule="atLeast"/>
        <w:rPr>
          <w:rFonts w:ascii="Times New Roman" w:hAnsi="Times New Roman" w:eastAsia="Tinos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nos" w:cs="Times New Roman"/>
          <w:sz w:val="28"/>
          <w:szCs w:val="28"/>
          <w:highlight w:val="none"/>
        </w:rPr>
      </w:r>
      <w:r>
        <w:rPr>
          <w:rFonts w:ascii="Times New Roman" w:hAnsi="Times New Roman" w:eastAsia="Tinos" w:cs="Times New Roman"/>
          <w:sz w:val="28"/>
          <w:szCs w:val="28"/>
          <w:highlight w:val="none"/>
        </w:rPr>
      </w:r>
    </w:p>
    <w:p>
      <w:pPr>
        <w:contextualSpacing w:val="0"/>
        <w:ind w:firstLine="567"/>
        <w:jc w:val="both"/>
        <w:spacing w:before="0" w:after="0" w:line="283" w:lineRule="atLeast"/>
        <w:rPr>
          <w:rFonts w:ascii="Times New Roman" w:hAnsi="Times New Roman" w:eastAsia="Tinos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nos" w:cs="Times New Roman"/>
          <w:sz w:val="28"/>
          <w:szCs w:val="28"/>
          <w:highlight w:val="none"/>
        </w:rPr>
      </w:r>
      <w:r>
        <w:rPr>
          <w:rFonts w:ascii="Times New Roman" w:hAnsi="Times New Roman" w:eastAsia="Tinos" w:cs="Times New Roman"/>
          <w:sz w:val="28"/>
          <w:szCs w:val="28"/>
          <w:highlight w:val="none"/>
        </w:rPr>
      </w:r>
    </w:p>
    <w:p>
      <w:pPr>
        <w:contextualSpacing w:val="0"/>
        <w:ind w:firstLine="567"/>
        <w:jc w:val="both"/>
        <w:spacing w:before="0" w:after="0" w:line="283" w:lineRule="atLeast"/>
        <w:rPr>
          <w:rFonts w:ascii="Times New Roman" w:hAnsi="Times New Roman" w:eastAsia="Tinos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  <w:t xml:space="preserve">Управление Росреестра по Омской области завершило работу </w:t>
      </w:r>
      <w:r>
        <w:rPr>
          <w:rFonts w:ascii="Times New Roman" w:hAnsi="Times New Roman" w:eastAsia="Tinos" w:cs="Times New Roman"/>
          <w:sz w:val="28"/>
          <w:szCs w:val="28"/>
        </w:rPr>
        <w:t xml:space="preserve">по передаче оригиналов документов</w:t>
      </w:r>
      <w:r>
        <w:rPr>
          <w:rFonts w:ascii="Times New Roman" w:hAnsi="Times New Roman" w:eastAsia="Tinos" w:cs="Times New Roman"/>
          <w:sz w:val="28"/>
          <w:szCs w:val="28"/>
        </w:rPr>
        <w:t xml:space="preserve"> (</w:t>
      </w:r>
      <w:r>
        <w:rPr>
          <w:rFonts w:ascii="Times New Roman" w:hAnsi="Times New Roman" w:eastAsia="Tinos" w:cs="Times New Roman"/>
          <w:sz w:val="28"/>
          <w:szCs w:val="28"/>
        </w:rPr>
        <w:t xml:space="preserve">свидетельств </w:t>
      </w:r>
      <w:r>
        <w:rPr>
          <w:rFonts w:ascii="Times New Roman" w:hAnsi="Times New Roman" w:eastAsia="Tinos" w:cs="Times New Roman"/>
          <w:sz w:val="28"/>
          <w:szCs w:val="28"/>
        </w:rPr>
        <w:t xml:space="preserve">и государственных актов </w:t>
      </w:r>
      <w:r>
        <w:rPr>
          <w:rFonts w:ascii="Times New Roman" w:hAnsi="Times New Roman" w:eastAsia="Tinos" w:cs="Times New Roman"/>
          <w:sz w:val="28"/>
          <w:szCs w:val="28"/>
        </w:rPr>
        <w:t xml:space="preserve">на </w:t>
      </w:r>
      <w:r>
        <w:rPr>
          <w:rFonts w:ascii="Times New Roman" w:hAnsi="Times New Roman" w:eastAsia="Tinos" w:cs="Times New Roman"/>
          <w:sz w:val="28"/>
          <w:szCs w:val="28"/>
        </w:rPr>
        <w:t xml:space="preserve">землю</w:t>
      </w:r>
      <w:r>
        <w:rPr>
          <w:rFonts w:ascii="Times New Roman" w:hAnsi="Times New Roman" w:eastAsia="Tinos" w:cs="Times New Roman"/>
          <w:sz w:val="28"/>
          <w:szCs w:val="28"/>
        </w:rPr>
        <w:t xml:space="preserve">) </w:t>
      </w:r>
      <w:r>
        <w:rPr>
          <w:rFonts w:ascii="Times New Roman" w:hAnsi="Times New Roman" w:eastAsia="Tinos" w:cs="Times New Roman"/>
          <w:sz w:val="28"/>
          <w:szCs w:val="28"/>
        </w:rPr>
        <w:t xml:space="preserve">в </w:t>
      </w:r>
      <w:r>
        <w:rPr>
          <w:rFonts w:ascii="Times New Roman" w:hAnsi="Times New Roman" w:eastAsia="Tinos" w:cs="Times New Roman"/>
          <w:sz w:val="28"/>
          <w:szCs w:val="28"/>
        </w:rPr>
        <w:t xml:space="preserve">органы местного самоуправления – в д</w:t>
      </w:r>
      <w:r>
        <w:rPr>
          <w:rFonts w:ascii="Times New Roman" w:hAnsi="Times New Roman" w:eastAsia="Tinos" w:cs="Times New Roman"/>
          <w:sz w:val="28"/>
          <w:szCs w:val="28"/>
        </w:rPr>
        <w:t xml:space="preserve">епартамент имущественных отношений Администрации г</w:t>
      </w:r>
      <w:r>
        <w:rPr>
          <w:rFonts w:ascii="Times New Roman" w:hAnsi="Times New Roman" w:eastAsia="Tinos" w:cs="Times New Roman"/>
          <w:sz w:val="28"/>
          <w:szCs w:val="28"/>
        </w:rPr>
        <w:t xml:space="preserve">орода </w:t>
      </w:r>
      <w:r>
        <w:rPr>
          <w:rFonts w:ascii="Times New Roman" w:hAnsi="Times New Roman" w:eastAsia="Tinos" w:cs="Times New Roman"/>
          <w:sz w:val="28"/>
          <w:szCs w:val="28"/>
        </w:rPr>
        <w:t xml:space="preserve">Омска и </w:t>
      </w:r>
      <w:r>
        <w:rPr>
          <w:rFonts w:ascii="Times New Roman" w:hAnsi="Times New Roman" w:eastAsia="Tinos" w:cs="Times New Roman"/>
          <w:sz w:val="28"/>
          <w:szCs w:val="28"/>
        </w:rPr>
        <w:t xml:space="preserve">а</w:t>
      </w:r>
      <w:r>
        <w:rPr>
          <w:rFonts w:ascii="Times New Roman" w:hAnsi="Times New Roman" w:eastAsia="Tinos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eastAsia="Tinos" w:cs="Times New Roman"/>
          <w:sz w:val="28"/>
          <w:szCs w:val="28"/>
        </w:rPr>
        <w:t xml:space="preserve">и</w:t>
      </w:r>
      <w:r>
        <w:rPr>
          <w:rFonts w:ascii="Times New Roman" w:hAnsi="Times New Roman" w:eastAsia="Tinos" w:cs="Times New Roman"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</w:rPr>
        <w:t xml:space="preserve">32</w:t>
      </w:r>
      <w:r>
        <w:rPr>
          <w:rFonts w:ascii="Times New Roman" w:hAnsi="Times New Roman" w:eastAsia="Tinos" w:cs="Times New Roman"/>
          <w:sz w:val="28"/>
          <w:szCs w:val="28"/>
        </w:rPr>
        <w:t xml:space="preserve">-</w:t>
      </w:r>
      <w:r>
        <w:rPr>
          <w:rFonts w:ascii="Times New Roman" w:hAnsi="Times New Roman" w:eastAsia="Tinos" w:cs="Times New Roman"/>
          <w:sz w:val="28"/>
          <w:szCs w:val="28"/>
        </w:rPr>
        <w:t xml:space="preserve">х </w:t>
      </w: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муниципальных районов Омской области.</w:t>
      </w:r>
      <w:r>
        <w:rPr>
          <w:rFonts w:ascii="Times New Roman" w:hAnsi="Times New Roman" w:eastAsia="Tinos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В</w:t>
      </w:r>
      <w:r>
        <w:rPr>
          <w:rFonts w:ascii="Times New Roman" w:hAnsi="Times New Roman" w:eastAsia="Tinos" w:cs="Times New Roman"/>
          <w:sz w:val="28"/>
          <w:szCs w:val="28"/>
        </w:rPr>
        <w:t xml:space="preserve"> этот </w:t>
      </w:r>
      <w:r>
        <w:rPr>
          <w:rFonts w:ascii="Times New Roman" w:hAnsi="Times New Roman" w:eastAsia="Tinos" w:cs="Times New Roman"/>
          <w:sz w:val="28"/>
          <w:szCs w:val="28"/>
        </w:rPr>
        <w:t xml:space="preserve">перечень</w:t>
      </w:r>
      <w:r>
        <w:rPr>
          <w:rFonts w:ascii="Times New Roman" w:hAnsi="Times New Roman" w:eastAsia="Tinos" w:cs="Times New Roman"/>
          <w:sz w:val="28"/>
          <w:szCs w:val="28"/>
        </w:rPr>
        <w:t xml:space="preserve"> вошли </w:t>
      </w:r>
      <w:r>
        <w:rPr>
          <w:rFonts w:ascii="Times New Roman" w:hAnsi="Times New Roman" w:eastAsia="Tinos" w:cs="Times New Roman"/>
          <w:sz w:val="28"/>
          <w:szCs w:val="28"/>
        </w:rPr>
        <w:t xml:space="preserve">документы на бумажном носителе, </w:t>
      </w:r>
      <w:r>
        <w:rPr>
          <w:rFonts w:ascii="Times New Roman" w:hAnsi="Times New Roman" w:eastAsia="Tinos" w:cs="Times New Roman"/>
          <w:sz w:val="28"/>
          <w:szCs w:val="28"/>
        </w:rPr>
        <w:t xml:space="preserve">удостоверяющие право собственности </w:t>
      </w:r>
      <w:r>
        <w:rPr>
          <w:rFonts w:ascii="Times New Roman" w:hAnsi="Times New Roman" w:eastAsia="Tinos" w:cs="Times New Roman"/>
          <w:sz w:val="28"/>
          <w:szCs w:val="28"/>
        </w:rPr>
        <w:t xml:space="preserve">на ранее учтенные объекты недвижимости</w:t>
      </w:r>
      <w:r>
        <w:rPr>
          <w:rFonts w:ascii="Times New Roman" w:hAnsi="Times New Roman" w:eastAsia="Tinos" w:cs="Times New Roman"/>
          <w:sz w:val="28"/>
          <w:szCs w:val="28"/>
        </w:rPr>
        <w:t xml:space="preserve">, в частности, земельные участки, </w:t>
      </w:r>
      <w:r>
        <w:rPr>
          <w:rFonts w:ascii="Times New Roman" w:hAnsi="Times New Roman" w:eastAsia="Tinos" w:cs="Times New Roman"/>
          <w:sz w:val="28"/>
          <w:szCs w:val="28"/>
        </w:rPr>
        <w:t xml:space="preserve">оформленные до дня вступления в силу Федерального закона от 21.07.</w:t>
      </w:r>
      <w:r>
        <w:rPr>
          <w:rFonts w:ascii="Times New Roman" w:hAnsi="Times New Roman" w:eastAsia="Tinos" w:cs="Times New Roman"/>
          <w:sz w:val="28"/>
          <w:szCs w:val="28"/>
        </w:rPr>
        <w:t xml:space="preserve">1997 </w:t>
      </w:r>
      <w:r>
        <w:rPr>
          <w:rFonts w:ascii="Times New Roman" w:hAnsi="Times New Roman" w:eastAsia="Tinos" w:cs="Times New Roman"/>
          <w:sz w:val="28"/>
          <w:szCs w:val="28"/>
        </w:rPr>
        <w:t xml:space="preserve">№ 122-ФЗ «О государственной регистрации прав на недви</w:t>
      </w:r>
      <w:r>
        <w:rPr>
          <w:rFonts w:ascii="Times New Roman" w:hAnsi="Times New Roman" w:eastAsia="Tinos" w:cs="Times New Roman"/>
          <w:sz w:val="28"/>
          <w:szCs w:val="28"/>
        </w:rPr>
        <w:t xml:space="preserve">жимое имущество и сделок с ним». Исключение стали реестровые дела – открытые до 01.01.2017 </w:t>
      </w:r>
      <w:r>
        <w:rPr>
          <w:rFonts w:ascii="Times New Roman" w:hAnsi="Times New Roman" w:eastAsia="Tinos" w:cs="Times New Roman"/>
          <w:sz w:val="28"/>
          <w:szCs w:val="28"/>
        </w:rPr>
        <w:t xml:space="preserve">кадастровы</w:t>
      </w:r>
      <w:r>
        <w:rPr>
          <w:rFonts w:ascii="Times New Roman" w:hAnsi="Times New Roman" w:eastAsia="Tinos" w:cs="Times New Roman"/>
          <w:sz w:val="28"/>
          <w:szCs w:val="28"/>
        </w:rPr>
        <w:t xml:space="preserve">е</w:t>
      </w:r>
      <w:r>
        <w:rPr>
          <w:rFonts w:ascii="Times New Roman" w:hAnsi="Times New Roman" w:eastAsia="Tinos" w:cs="Times New Roman"/>
          <w:sz w:val="28"/>
          <w:szCs w:val="28"/>
        </w:rPr>
        <w:t xml:space="preserve"> дела</w:t>
      </w:r>
      <w:r>
        <w:rPr>
          <w:rFonts w:ascii="Times New Roman" w:hAnsi="Times New Roman" w:eastAsia="Tinos" w:cs="Times New Roman"/>
          <w:sz w:val="28"/>
          <w:szCs w:val="28"/>
        </w:rPr>
        <w:t xml:space="preserve"> и дела</w:t>
      </w:r>
      <w:r>
        <w:rPr>
          <w:rFonts w:ascii="Times New Roman" w:hAnsi="Times New Roman" w:eastAsia="Tinos" w:cs="Times New Roman"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</w:rPr>
        <w:t xml:space="preserve">правоустанавливающих документов, хранящиеся в настоящее время в ППК «Роскадастр» по Омской области.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Переданные документы представляют собой </w:t>
      </w:r>
      <w:r>
        <w:rPr>
          <w:rFonts w:ascii="Times New Roman" w:hAnsi="Times New Roman" w:eastAsia="Tinos" w:cs="Times New Roman"/>
          <w:b/>
          <w:sz w:val="28"/>
          <w:szCs w:val="28"/>
        </w:rPr>
        <w:t xml:space="preserve">оригиналы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- государственных актов пожизненно наследуемого владения;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- государственных актов о праве постоянного (бессрочного) пользования землей;</w:t>
      </w:r>
      <w:bookmarkStart w:id="0" w:name="_GoBack"/>
      <w:r/>
      <w:bookmarkEnd w:id="0"/>
      <w:r/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- свидетельств на право собственности на землю;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- свидетельств о праве бессрочного(постоянного) пользования землей;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- свидетельств на право пожизненного наследуемого владения землей;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- свидетельств на право временного пользования землей.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nos" w:cs="Times New Roman"/>
          <w:i/>
          <w:sz w:val="28"/>
          <w:szCs w:val="28"/>
        </w:rPr>
      </w:pPr>
      <w:r>
        <w:rPr>
          <w:rFonts w:ascii="Times New Roman" w:hAnsi="Times New Roman" w:eastAsia="Tinos" w:cs="Times New Roman"/>
          <w:i/>
          <w:sz w:val="28"/>
          <w:szCs w:val="28"/>
        </w:rPr>
        <w:t xml:space="preserve">«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Р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абота по передаче оригиналов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 правоустанавливающих документов старого образца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 была проведена с целью эффективной</w:t>
      </w:r>
      <w:r>
        <w:rPr>
          <w:i/>
        </w:rPr>
        <w:t xml:space="preserve"> 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реализации Закона № 518-ФЗ, наделяющего представителей муниципальной власти полномочиями по поиску правообладателей зарегистрированн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ой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 до 31 декабря 1998 года недвижимости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, сведения о собственниках которой отсутствуют в ЕГРН. Также п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ередача вышеперечисленных 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актов и свидетельств 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означает, что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,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начиная с 2025 года, 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при возникновении у правообладателя необходимости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 получени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и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 копии документа 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старого образца 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на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 ранее учтенный объект недвижимости – земельный участок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,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ему необходимо обращаться с таким заявлением не в Росреестр, а 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соответствующий орган местного самоуправления – по месту нахождения 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объекта: если это город Омск, то в департамент имущественных отношений мэрии, если любой населенный пункт в границах муниципального района, то непосредственно в Администрацию того или иного муниципального райо</w:t>
      </w:r>
      <w:r>
        <w:rPr>
          <w:rFonts w:ascii="Times New Roman" w:hAnsi="Times New Roman" w:eastAsia="Tinos" w:cs="Times New Roman"/>
          <w:i/>
          <w:sz w:val="28"/>
          <w:szCs w:val="28"/>
        </w:rPr>
        <w:t xml:space="preserve">на</w:t>
      </w:r>
      <w:r>
        <w:rPr>
          <w:rFonts w:ascii="Times New Roman" w:hAnsi="Times New Roman" w:eastAsia="Tinos" w:cs="Times New Roman"/>
          <w:sz w:val="28"/>
          <w:szCs w:val="28"/>
        </w:rPr>
        <w:t xml:space="preserve">», </w:t>
      </w:r>
      <w:r>
        <w:rPr>
          <w:rFonts w:ascii="Times New Roman" w:hAnsi="Times New Roman" w:eastAsia="Tinos" w:cs="Times New Roman"/>
          <w:sz w:val="28"/>
          <w:szCs w:val="28"/>
        </w:rPr>
        <w:t xml:space="preserve">– </w:t>
      </w:r>
      <w:r>
        <w:rPr>
          <w:rFonts w:ascii="Times New Roman" w:hAnsi="Times New Roman" w:eastAsia="Tinos" w:cs="Times New Roman"/>
          <w:sz w:val="28"/>
          <w:szCs w:val="28"/>
        </w:rPr>
        <w:t xml:space="preserve">отметила заместитель руководителя Управления Росреестра по Омской области </w:t>
      </w:r>
      <w:r>
        <w:rPr>
          <w:rFonts w:ascii="Times New Roman" w:hAnsi="Times New Roman" w:eastAsia="Tinos" w:cs="Times New Roman"/>
          <w:b/>
          <w:sz w:val="28"/>
          <w:szCs w:val="28"/>
        </w:rPr>
        <w:t xml:space="preserve">Анжелика Иванова.</w:t>
      </w:r>
      <w:r>
        <w:rPr>
          <w:rFonts w:ascii="Times New Roman" w:hAnsi="Times New Roman" w:eastAsia="Tinos" w:cs="Times New Roman"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nos" w:cs="Times New Roman"/>
          <w:sz w:val="28"/>
          <w:szCs w:val="28"/>
          <w:lang w:val="en-US"/>
        </w:rPr>
      </w:pPr>
      <w:r>
        <w:rPr>
          <w:rFonts w:ascii="Times New Roman" w:hAnsi="Times New Roman" w:eastAsia="Tinos" w:cs="Times New Roman"/>
          <w:sz w:val="28"/>
          <w:szCs w:val="28"/>
          <w:lang w:val="en-US"/>
        </w:rPr>
      </w:r>
      <w:r>
        <w:rPr>
          <w:rFonts w:ascii="Times New Roman" w:hAnsi="Times New Roman" w:eastAsia="Tinos" w:cs="Times New Roman"/>
          <w:sz w:val="28"/>
          <w:szCs w:val="28"/>
          <w:lang w:val="en-US"/>
        </w:rPr>
      </w:r>
    </w:p>
    <w:p>
      <w:pPr>
        <w:ind w:firstLine="567"/>
        <w:jc w:val="right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  <w:highlight w:val="none"/>
        </w:rPr>
      </w:r>
      <w:r>
        <w:rPr>
          <w:rFonts w:ascii="Times New Roman" w:hAnsi="Times New Roman" w:eastAsia="Tinos" w:cs="Times New Roman"/>
          <w:sz w:val="28"/>
          <w:szCs w:val="28"/>
          <w:highlight w:val="none"/>
        </w:rPr>
      </w:r>
    </w:p>
    <w:p>
      <w:pPr>
        <w:ind w:firstLine="567"/>
        <w:jc w:val="right"/>
        <w:spacing w:after="0" w:line="240" w:lineRule="auto"/>
        <w:rPr>
          <w:rFonts w:ascii="Times New Roman" w:hAnsi="Times New Roman" w:eastAsia="Tinos" w:cs="Times New Roman"/>
          <w:sz w:val="28"/>
          <w:szCs w:val="28"/>
          <w:highlight w:val="none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Пресс-служба Управления Росреестра по Омской области</w:t>
      </w:r>
      <w:r>
        <w:rPr>
          <w:rFonts w:ascii="Times New Roman" w:hAnsi="Times New Roman" w:eastAsia="Tinos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567" w:right="850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43">
    <w:name w:val="Header Char"/>
    <w:basedOn w:val="663"/>
    <w:link w:val="683"/>
    <w:uiPriority w:val="99"/>
  </w:style>
  <w:style w:type="character" w:styleId="47">
    <w:name w:val="Caption Char"/>
    <w:basedOn w:val="687"/>
    <w:link w:val="685"/>
    <w:uiPriority w:val="99"/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No Spacing"/>
    <w:basedOn w:val="653"/>
    <w:uiPriority w:val="1"/>
    <w:qFormat/>
    <w:pPr>
      <w:spacing w:after="0" w:line="240" w:lineRule="auto"/>
    </w:pPr>
  </w:style>
  <w:style w:type="paragraph" w:styleId="834">
    <w:name w:val="List Paragraph"/>
    <w:basedOn w:val="653"/>
    <w:uiPriority w:val="34"/>
    <w:qFormat/>
    <w:pPr>
      <w:contextualSpacing/>
      <w:ind w:left="720"/>
    </w:pPr>
  </w:style>
  <w:style w:type="paragraph" w:styleId="835">
    <w:name w:val="Balloon Text"/>
    <w:basedOn w:val="653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663"/>
    <w:link w:val="83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47</cp:revision>
  <dcterms:created xsi:type="dcterms:W3CDTF">2025-03-10T04:22:00Z</dcterms:created>
  <dcterms:modified xsi:type="dcterms:W3CDTF">2025-03-18T05:08:07Z</dcterms:modified>
</cp:coreProperties>
</file>