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FBCF" w14:textId="17459461" w:rsidR="00BC4688" w:rsidRPr="003240A3" w:rsidRDefault="00BC4688" w:rsidP="00BC4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739336E" w14:textId="77777777" w:rsidR="00BC4688" w:rsidRPr="003240A3" w:rsidRDefault="00BC4688" w:rsidP="00BC4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общественного совета Горьковского муниципального района</w:t>
      </w:r>
    </w:p>
    <w:p w14:paraId="0876C6C6" w14:textId="77777777" w:rsidR="00BC4688" w:rsidRPr="003240A3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45C2A" w14:textId="47F52E58" w:rsidR="00BC4688" w:rsidRPr="003240A3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р.п. Горьковское        </w:t>
      </w:r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</w:t>
      </w:r>
    </w:p>
    <w:p w14:paraId="5540A6FA" w14:textId="77777777" w:rsidR="00BC4688" w:rsidRPr="003240A3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297FE" w14:textId="77777777" w:rsidR="00BC4688" w:rsidRPr="003240A3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Посаженников В.Г. - председатель общественного совета</w:t>
      </w:r>
    </w:p>
    <w:p w14:paraId="779DB693" w14:textId="77777777" w:rsidR="00BC4688" w:rsidRPr="003240A3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2144B" w14:textId="2D241D0C" w:rsidR="00BC4688" w:rsidRPr="003240A3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О.А.</w:t>
      </w:r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Григуль А.М.,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Кузьмичев Л.А.</w:t>
      </w:r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Леонов В. С., Епанчинцев Н.М, Вячин Н.В., Чабанов Е.А., Ватага Ю.П., Манжалей Л.В.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Hlk18591915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 Д.М.,</w:t>
      </w:r>
      <w:bookmarkEnd w:id="0"/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Румянцева О.Г., Муравьева О.А.,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Минкаилов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Р.Х.</w:t>
      </w:r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043"/>
      </w:tblGrid>
      <w:tr w:rsidR="00BC4688" w:rsidRPr="003240A3" w14:paraId="26B090A9" w14:textId="77777777" w:rsidTr="00B27136">
        <w:tc>
          <w:tcPr>
            <w:tcW w:w="2988" w:type="dxa"/>
          </w:tcPr>
          <w:p w14:paraId="4B817ADB" w14:textId="77777777" w:rsidR="00BC4688" w:rsidRPr="003240A3" w:rsidRDefault="00BC4688" w:rsidP="00B27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3" w:type="dxa"/>
          </w:tcPr>
          <w:p w14:paraId="4152F5E8" w14:textId="77777777" w:rsidR="00BC4688" w:rsidRPr="003240A3" w:rsidRDefault="00BC4688" w:rsidP="00B27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EAA72E4" w14:textId="77777777" w:rsidR="00BC4688" w:rsidRPr="003240A3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  <w:r w:rsidRPr="00324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6F97886" w14:textId="77777777" w:rsidR="00BC4688" w:rsidRPr="00BC4688" w:rsidRDefault="00BC4688" w:rsidP="00BC4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688">
        <w:rPr>
          <w:rFonts w:ascii="Times New Roman" w:eastAsia="Calibri" w:hAnsi="Times New Roman" w:cs="Times New Roman"/>
          <w:sz w:val="28"/>
          <w:szCs w:val="28"/>
        </w:rPr>
        <w:t>1. Догазификация Горьковского муниципального района Омской области.</w:t>
      </w:r>
    </w:p>
    <w:p w14:paraId="7B917488" w14:textId="77777777" w:rsidR="00BC4688" w:rsidRPr="00BC4688" w:rsidRDefault="00BC4688" w:rsidP="00BC4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688">
        <w:rPr>
          <w:rFonts w:ascii="Times New Roman" w:eastAsia="Calibri" w:hAnsi="Times New Roman" w:cs="Times New Roman"/>
          <w:sz w:val="28"/>
          <w:szCs w:val="28"/>
        </w:rPr>
        <w:t>2. О деятельности Отдела Министерства внутренних дел Российской Федерации по Горьковскому району за 2024 год.</w:t>
      </w:r>
    </w:p>
    <w:p w14:paraId="54B397C3" w14:textId="16308D08" w:rsidR="00BC4688" w:rsidRDefault="00BC4688" w:rsidP="00BC4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688">
        <w:rPr>
          <w:rFonts w:ascii="Times New Roman" w:eastAsia="Calibri" w:hAnsi="Times New Roman" w:cs="Times New Roman"/>
          <w:sz w:val="28"/>
          <w:szCs w:val="28"/>
        </w:rPr>
        <w:t>3. Подведение итогов работы за 2024год.</w:t>
      </w:r>
    </w:p>
    <w:p w14:paraId="08D1E477" w14:textId="77777777" w:rsidR="00BC4688" w:rsidRPr="003240A3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66DC9" w14:textId="77777777" w:rsidR="00BC4688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первому вопросу:</w:t>
      </w:r>
    </w:p>
    <w:p w14:paraId="7E1EBFF0" w14:textId="77777777" w:rsidR="00BC4688" w:rsidRPr="003240A3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D6A12E" w14:textId="335EC164" w:rsidR="00BC4688" w:rsidRDefault="00441CD3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О.А. - Заместителя Главы Горьковского муниципального района Омской области</w:t>
      </w:r>
    </w:p>
    <w:p w14:paraId="552DF484" w14:textId="77777777" w:rsidR="00441CD3" w:rsidRPr="003240A3" w:rsidRDefault="00441CD3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7C8E2" w14:textId="20406988" w:rsidR="00441CD3" w:rsidRPr="00441CD3" w:rsidRDefault="00441CD3" w:rsidP="00441C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>Социальная газификация — бесплатное подведение газа до границ домов в уже газифицированных населённых пунктах, тех граждан, которые по каким-либо причинам не были подключены к газоснабжению изначально. Программа позволяет обеспечить комфортное и экономичное отопление, горячее водоснабжение, использование различных газовых приборов.</w:t>
      </w:r>
    </w:p>
    <w:p w14:paraId="03826544" w14:textId="7785D2EC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на территории Горьковского муниципального района газифицированы 4 населённых пункта (р.п.  Горьковское, с.  Астыровка, пос. Ударный и д. Яковлевка). В соответствии с генеральной схемой газоснабжения и газификации Омской области на 2021 – 2025 годы строительство объектов газораспределительных систем на территории Горьковского района не предусмотрено, за исключением строительства межпоселкового и внутрипоселкового газопроводов в пос. Ударный в 2023 году. </w:t>
      </w:r>
    </w:p>
    <w:p w14:paraId="3C73890B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>Оператором газификации и догазификации на территории Горьковского муниципального района является АО «Омскоблгаз». Заявления на технологическое присоединение в рамках догазификации подаются в адрес АО «Омскоблгаз» через МФЦ либо на Горьковском газовом участке. Бесплатно газифицироваться могут только те участки, дома на которых стоят на кадастровом учёте. Тем, у кого нет документов, подтверждающих право собственности на земельный участок и дом, для участия в программе сначала необходимо оформить право собственности на них, а уже затем подать заявку на проведение газовой трубы.</w:t>
      </w:r>
    </w:p>
    <w:p w14:paraId="375D2C56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состоянию на 18.12.2024 года в пос. Ударный в 106 домовладениях выполнены необходимые замеры и проектирование, в 83 домовладениях выполнены работы по установке газоиспользующего оборудования, из них в 76 домовладениях также выполнено строительство сети газопотребления внутри земельного участка. </w:t>
      </w:r>
    </w:p>
    <w:p w14:paraId="0C7AA1B5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 xml:space="preserve">Заключены договора на поставку газа у 72 домовладений. На подписании в АО «Омскоблгаз» - 2 договоров. </w:t>
      </w:r>
    </w:p>
    <w:p w14:paraId="579A54A6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 xml:space="preserve">В рамках программы социальной догазификации жителями Горьковского муниципального района подано 217 заявок, из них отклонено 57 шт. Договоров на догазификацию заключено – 147 шт. Всего исполнено до границ участка – 90 договора. </w:t>
      </w:r>
    </w:p>
    <w:p w14:paraId="56AE5179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>Выполнено подключений (осуществлён пуск газа):</w:t>
      </w:r>
    </w:p>
    <w:p w14:paraId="787881BE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 xml:space="preserve">- в 2022 году – 17 домов, </w:t>
      </w:r>
    </w:p>
    <w:p w14:paraId="421660B7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 xml:space="preserve">- в 2023 году – 27 дома, </w:t>
      </w:r>
    </w:p>
    <w:p w14:paraId="6F892EB5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 xml:space="preserve">- в 2024 году – 14 дома. </w:t>
      </w:r>
    </w:p>
    <w:p w14:paraId="7CD1DAF9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 xml:space="preserve">Из них: </w:t>
      </w:r>
    </w:p>
    <w:p w14:paraId="19CA812A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>- в Горьковском - 38 домов,</w:t>
      </w:r>
    </w:p>
    <w:p w14:paraId="08C9E1BB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 xml:space="preserve">- в Астыровке – 19 домов, </w:t>
      </w:r>
    </w:p>
    <w:p w14:paraId="43E5829F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>- в Яковлевке – 1 домов.</w:t>
      </w:r>
    </w:p>
    <w:p w14:paraId="56D0F6BC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96767F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 xml:space="preserve">Средняя стоимость газификации домовладения составляет ориентировочно 170 тыс. рублей (за исключением работ по реконструкции системы отопления). </w:t>
      </w:r>
    </w:p>
    <w:p w14:paraId="0C4CA4B5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>По информации БУ «МФЦ Горьковского района Омской области», за период с 2022 (с начала догазификации) по настоящее время выплачено 65 возмещений на общую сумму 6 847 888,99 рублей.</w:t>
      </w:r>
    </w:p>
    <w:p w14:paraId="73575A90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>По Указу № 23 – 54 на сумму 6 572 447,33 рублей;</w:t>
      </w:r>
    </w:p>
    <w:p w14:paraId="793A49F5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>По Указу № 201 – 2 на сумму 175 441,66 рублей;</w:t>
      </w:r>
    </w:p>
    <w:p w14:paraId="4C3441C0" w14:textId="77777777" w:rsidR="00441CD3" w:rsidRP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>По Постановлению №46-п – 1 на сумму 100 000 рублей.</w:t>
      </w:r>
    </w:p>
    <w:p w14:paraId="7A946199" w14:textId="63F9A038" w:rsidR="00BC4688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D3">
        <w:rPr>
          <w:rFonts w:ascii="Times New Roman" w:eastAsia="Calibri" w:hAnsi="Times New Roman" w:cs="Times New Roman"/>
          <w:sz w:val="28"/>
          <w:szCs w:val="28"/>
        </w:rPr>
        <w:t>Особое внимание уделяется семьям с низким доходом, многодетным, ветеранам, участникам специальной военной операции (СВО) и членам их семей. Меры поддержки позволяют снизить затраты на подключение к газовой сети и приобретение оборудования, а также предоставляют другие финансовые преимущества.</w:t>
      </w:r>
    </w:p>
    <w:p w14:paraId="7A84612D" w14:textId="77777777" w:rsidR="00441CD3" w:rsidRDefault="00441CD3" w:rsidP="00441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0E7234" w14:textId="28059E3D" w:rsidR="00BC4688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второму вопросу:</w:t>
      </w:r>
    </w:p>
    <w:p w14:paraId="12400AFD" w14:textId="77777777" w:rsidR="00BC4688" w:rsidRPr="003240A3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0A2761" w14:textId="77777777" w:rsidR="00BC4688" w:rsidRPr="00BC4688" w:rsidRDefault="00BC4688" w:rsidP="00BC46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Минкаилова Р.Х. - Начальника ОМВД России по Горьковскому району</w:t>
      </w:r>
    </w:p>
    <w:p w14:paraId="0FC47E2B" w14:textId="77777777" w:rsidR="00BC4688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A60F9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итоги работы подразделения за 2024 год, необходимо отметить, что контроль за состоянием криминальной ситуации на территории обслуживания ОМВД в целом был обеспечен, не допущено её резких осложнений.   </w:t>
      </w:r>
    </w:p>
    <w:p w14:paraId="53F703C7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2024 года в ОМВД России по Горьковскому району зарегистрировано в КУСП 2207 сообщений и заявления о преступлении, об </w:t>
      </w: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административных правонарушениях, о происшествиях (АППГ – 2772) -20,4%. </w:t>
      </w:r>
    </w:p>
    <w:p w14:paraId="4658C288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состояния оперативной обстановки на территории обслуживания ОМВД России по Горьковскому району по итогам  2024 года свидетельствует о том, что уровень зарегистрированных преступлений снизился по сравнению с  прошлым годом на 71 преступление (АППГ-209, -34,0%) и составил 138 преступлений, при среднем снижении по сельским ОВД на 11,0%. По линии «следствие обязательно» количество зарегистрированных преступлений снизилось на 14,3% (с 70 до 60; село: -3,7%), по линии «следствие необязательно» снизилось на 43,9% (со 139 до 78; село: -18,5%).Удельный вес раскрываемости преступлений по итогам 2024 года составил 52,6% (АППГ-70,7%) при среднесельском 57,7%.</w:t>
      </w:r>
    </w:p>
    <w:p w14:paraId="562BC20F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произошло снижение следующего вида преступлений:</w:t>
      </w:r>
    </w:p>
    <w:p w14:paraId="67C08D71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особо тяжких преступлений на 45,5% (с 11 до 6).</w:t>
      </w:r>
    </w:p>
    <w:p w14:paraId="60FF19A4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тяжких преступлений на 37,8% (с 37 до 23).</w:t>
      </w:r>
    </w:p>
    <w:p w14:paraId="35879081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преступлений небольшой тяжести на 39,4% (со 137 до 83).</w:t>
      </w:r>
    </w:p>
    <w:p w14:paraId="2CBF7C3B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преступлений против собственности на 12,7% (с 79 до 69).</w:t>
      </w:r>
    </w:p>
    <w:p w14:paraId="490DB554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краж чужого имущества на 26,3% (с 57 до 42).</w:t>
      </w:r>
    </w:p>
    <w:p w14:paraId="2DF245D0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краж по следствию на 18,8% (с 32 до 26).</w:t>
      </w:r>
    </w:p>
    <w:p w14:paraId="426CFE6D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преступлений двойной превенции на 55,6% (с 54 до 24).</w:t>
      </w:r>
    </w:p>
    <w:p w14:paraId="6A696879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убийств на 100,0% (с 2 до 0).</w:t>
      </w:r>
    </w:p>
    <w:p w14:paraId="68D9D1BB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причинений тяжкого вреда здоровью на 83,3% (с 6 до 1).</w:t>
      </w:r>
    </w:p>
    <w:p w14:paraId="074FE2BB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том числе ст. 111 ч. 4 УК РФ на 100,0% (с 2 до 0).</w:t>
      </w:r>
    </w:p>
    <w:p w14:paraId="1EB9D3B6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краж из квартир на 37,5% (с 16 до 10).</w:t>
      </w:r>
    </w:p>
    <w:p w14:paraId="59FBB44C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преступлений, связанных с незаконным оборотом наркотиков на 100,0% (с 4 до 0).</w:t>
      </w:r>
    </w:p>
    <w:p w14:paraId="2840B6E1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Возросло на 4,3% количество зарегистрированных имущественных преступлений, совершенных с использованием информационно-телекоммуникационных технологий или в сфере компьютерной информации с 23 до 24. Также в отчетном периоде 2024 года произошел рост:</w:t>
      </w:r>
    </w:p>
    <w:p w14:paraId="55B4A576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преступлений средней тяжести на 8,3% (с 24 до 26).</w:t>
      </w:r>
    </w:p>
    <w:p w14:paraId="0E3C83E6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мошенничеств на 33,3% (с 15 до 20).</w:t>
      </w:r>
    </w:p>
    <w:p w14:paraId="429CD4D6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мошенничеств с квалифицирующими признаками – на 28,6% (с 7 до 9).</w:t>
      </w:r>
    </w:p>
    <w:p w14:paraId="159DFE1F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неправомерного завладения транспортным средством на 100,0% (с 0 до 1).</w:t>
      </w:r>
    </w:p>
    <w:p w14:paraId="692A9FB6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разбои с проникновением на 100,0% (с 0 до 1, д. Сягаевка Минаев, выделенное МСО СУ СК из ч. 2 ст. 105 УК РФ). </w:t>
      </w:r>
    </w:p>
    <w:p w14:paraId="233DE8A7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полной мере соответствует поставленным задачам организация деятельности по повышению эффективности работы по раскрытию преступлений и расследованию уголовных дел. </w:t>
      </w:r>
    </w:p>
    <w:p w14:paraId="191318DA" w14:textId="0E5C4EEA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общем снижении числа зарегистрированных преступлений снизилось и число оконченных преступлений на 50,3% (со 145 до 72), в том числе по линии дознания на 53,5% (с 99 до 46), по линии следствие обязательно на 43,5% (с 46 до 26). Количество нераскрытых преступлений возросло на 8,3% (с 60 до 65), по линии «</w:t>
      </w: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 обязательно</w:t>
      </w: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71,4% (с 21 до 36). Как результат, по итогам 2024 года раскрываемость в целом снизилась на 18,1% по сравнению с </w:t>
      </w: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АППГ, удельный вес составил 52,6% (АППГ-70,7%), и остался ниже среднесельского показателя, который составил 57,7%. По линии «следствие обязательно» удельный вес расследованных преступлений снизился на 26,8% и составил 41,9% (АППГ-68,7%), что ниже среднесельского показателя, который составил 42,2%. По линии «следствие не обязательно» по итогам 2024 года удельный вес снизился на 10,4% по сравнению с АППГ с 71,7% до 61,3%, и остался ниже среднесельского показателя, который составил 75,3%.</w:t>
      </w:r>
    </w:p>
    <w:p w14:paraId="0CAD0FEE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Допущено снижение раскрываемости:</w:t>
      </w:r>
    </w:p>
    <w:p w14:paraId="6648E1CB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особо тяжких преступлений на 5,6% (с 88,9% до 83,3%, село 66,8%)</w:t>
      </w:r>
    </w:p>
    <w:p w14:paraId="150B1BC4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тяжких преступлений на 34,3% (с 70,3% до 36,0%, село 50,1%);</w:t>
      </w:r>
    </w:p>
    <w:p w14:paraId="6634DAB5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преступлений небольшой тяжести – на 15,8% (с 75,6% до 59,8%; село 68,7%).</w:t>
      </w:r>
    </w:p>
    <w:p w14:paraId="14B74DEA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преступлений против собственности на 9,9% (с 42,3% до 32,4%, село </w:t>
      </w:r>
      <w:proofErr w:type="gramStart"/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39,%</w:t>
      </w:r>
      <w:proofErr w:type="gramEnd"/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).3</w:t>
      </w:r>
    </w:p>
    <w:p w14:paraId="5734BCA9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краж чужого имущества на 4,0% (с 46,6% до 42,6%, село 53,1 %).</w:t>
      </w:r>
    </w:p>
    <w:p w14:paraId="1D367125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краж по следствию на 20,1% (с 59,4% до 39,3%, село 51,6%).</w:t>
      </w:r>
    </w:p>
    <w:p w14:paraId="4C9F526F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мошенничеств на 14,3% (с 14,3% до 0%, село 13,1%).</w:t>
      </w:r>
    </w:p>
    <w:p w14:paraId="172A5CCB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том числе с квалифицирующими признаками на 28,6% (со 28,6% до 0%, село 14,6 %). </w:t>
      </w:r>
    </w:p>
    <w:p w14:paraId="4F36A3DF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-краж из квартир – на 36,7% (со 86,7% до 50,0%; село 80,4%); </w:t>
      </w:r>
    </w:p>
    <w:p w14:paraId="7E3990D4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причин снижения раскрываемости, отсутствие должного взаимодействия подразделений ОМВД при раскрытии преступлений в дежурные сутки. Так, по итогам 2024 года в дежурные сутки раскрыто 2 преступления (АППГ-0), что свидетельствует о явной недостаточности наступательности служб в данном направлении оперативно-служебной деятельности.</w:t>
      </w:r>
    </w:p>
    <w:p w14:paraId="017607A9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Раскрыто оперативными подразделениями при помощи источников оперативной информации 7 преступлений (АППГ 16). Удельный вес расследованных преступлений с применением оперативных данных составляет 9,7%, при среднесельском показателе 13,8%. </w:t>
      </w:r>
    </w:p>
    <w:p w14:paraId="28108E93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2024 раскрыто 2 преступления категории «прошлых лет» (АППГ-6), общий остаток нераскрытых преступлений данного вида составил 192 преступления. </w:t>
      </w:r>
    </w:p>
    <w:p w14:paraId="1E3A6F61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2024 года преступления связанные с незаконным оборотом наркотиков не выявлялись (АППГ-4). В отчетном периоде выявлено 4 преступления связанных с незаконным оборотом оружия (АППГ-0).</w:t>
      </w:r>
    </w:p>
    <w:p w14:paraId="42CF9047" w14:textId="6675A422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Снизилось количество преступлений, совершенных в общественных местах на 45,5% (с 22 до 12), </w:t>
      </w: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преступлений,</w:t>
      </w: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совершенных </w:t>
      </w:r>
      <w:proofErr w:type="gramStart"/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</w:t>
      </w:r>
      <w:proofErr w:type="gramEnd"/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снизилось на 50,0% (с 20 до 10).</w:t>
      </w:r>
    </w:p>
    <w:p w14:paraId="2FDEC02F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зарегистрировано 24 преступления «двойной превенции (АППГ - 54), снижение на 55,6 %.         </w:t>
      </w:r>
    </w:p>
    <w:p w14:paraId="0F7F98B4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несовершеннолетними совершено 2 преступления (АППГ-1). </w:t>
      </w:r>
    </w:p>
    <w:p w14:paraId="2D11EBC3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 количество уголовно-наказуемых деяний, совершенных лицами, ранее совершавшими преступления на 52,0% (с 98 до 47), удельный вес повторной преступности снизился на 2,3% и составил 65,3%, что на 2,3% ниже среднесельского показателя (67,6%).</w:t>
      </w:r>
    </w:p>
    <w:p w14:paraId="238E5E6D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2024 года на территории Горьковского района зарегистрировано 15 преступлений, совершенных в состоянии алкогольного опьянения (АППГ-27), удельный вес составил 20,8% (АППГ-18,6%) при среднесельском показателе 32,0%.</w:t>
      </w:r>
    </w:p>
    <w:p w14:paraId="27C9331F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Снизилось число преступлений, совершенных лицами, состоящими под административным надзором, так, в 2024 году указанными лицами совершено 6 преступлений (АППГ-12), снижение на 50,0%, удельный вес таких преступлений остался на уровне прошлого года и составил 8,3%, выше среднесельского показателя, который составил 7,3%. </w:t>
      </w:r>
    </w:p>
    <w:p w14:paraId="6CBAF697" w14:textId="5204A4F8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100,0% (с 4 до 0) снизилось </w:t>
      </w: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числа преступлений,</w:t>
      </w: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ст.</w:t>
      </w: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314.1 УК РФ.  </w:t>
      </w:r>
    </w:p>
    <w:p w14:paraId="5B92DFE3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совершено 1 тяжкое преступление на бытовой почве (АППГ-1), всего совершено 15 таких преступления (АППГ-24), удельный вес составил 20,8% (АППГ-16,6%).</w:t>
      </w:r>
    </w:p>
    <w:p w14:paraId="2CA3E9FF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2024 года сотрудниками полиции на территории обслуживания пресечено 200 административных правонарушений, без учета ГИБДД и УВМ (АППГ – 410)-51,2%.</w:t>
      </w:r>
    </w:p>
    <w:p w14:paraId="2754B002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правонарушения, вывяленные сотрудниками ОВД, наказанию в виде административного штрафа подвергнуто 55 правонарушителей, виде предупреждения – 3, в виде административного ареста – 9, обязательные работы-6.</w:t>
      </w:r>
    </w:p>
    <w:p w14:paraId="76F1046E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должностными лицами ОВД вынесено 227 определение об отказе в возбуждении дела об административном правонарушении.</w:t>
      </w:r>
    </w:p>
    <w:p w14:paraId="1743E9A6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ОВД рассмотрено 873 административных дел, по которым вынесено 83 постановлений в виде штрафа на общую сумму 100000 рублей, взыскано – 72900 рублей, процент взыскания административных штрафов составил 72,9%.</w:t>
      </w:r>
    </w:p>
    <w:p w14:paraId="2367382F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ч. 1 ст. 20.25 КоАП РФ в отчетном периоде подлежало привлечению 31 человек, привлечено 10 лиц, что составляет 32,3%.</w:t>
      </w:r>
    </w:p>
    <w:p w14:paraId="49E3235D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исполнения постановлений, отнесенных к компетенции полиции, составил 71,1%.</w:t>
      </w:r>
    </w:p>
    <w:p w14:paraId="29D07AC8" w14:textId="77777777" w:rsidR="00FD3463" w:rsidRPr="00FD3463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зарегистрировано 14 дорожно-транспортное происшествие с пострадавшими (АППГ-15, -6,6%), в результате которых 1 человек погиб (АППГ-5, -400,0%) и 22 человека получили ранение (АППГ-18, +22,2%), тяжесть последствий автоаварий составила 4,3% (АППГ-21,7%). </w:t>
      </w:r>
    </w:p>
    <w:p w14:paraId="279BDACF" w14:textId="3E0315E2" w:rsidR="00BC4688" w:rsidRDefault="00FD3463" w:rsidP="00FD34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Допущены просчеты по линии учетно-регистрационной дисциплины. По итогам 2024 года сотрудниками ОМВД России по Горьковскому району по 344 материалам приняты решения об отказе в возбуждении уголовного дела (АППГ-375). На дополнительную проверку возвращены 110 материалов (АППГ - 212) из них 100 по инициативе прокуратуры (АППГ 172), руководителем следственного органа 9 (АППГ-3). Из отказных материалов возбуждено 29 уголовных дел по инициативе прокуратуры (АППГ-32), после отмены постановления об отказе в возбуждении уголовного дела руководителем следственно органа возбуждено 1 уголовное дело (АППГ-5), </w:t>
      </w:r>
      <w:r w:rsidRPr="00FD3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ходатайству начальника ОВД возбуждено 1 уголовное дело (АППГ-2). По итогам 2024 года допущено 36 нарушений учетно-регистрационной дисциплины (АППГ-38) и 2 нарушения статистической работы (АППГ-8).</w:t>
      </w:r>
    </w:p>
    <w:p w14:paraId="1C539811" w14:textId="77777777" w:rsidR="00BC4688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D73C1" w14:textId="77777777" w:rsidR="00BC4688" w:rsidRPr="003240A3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E9A11" w14:textId="77777777" w:rsidR="00BC4688" w:rsidRPr="003240A3" w:rsidRDefault="00BC4688" w:rsidP="00BC4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7947AE" w14:textId="77777777" w:rsidR="00BC4688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третьему вопросу:</w:t>
      </w:r>
    </w:p>
    <w:p w14:paraId="00770FA6" w14:textId="77777777" w:rsidR="00BC4688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7CE02D" w14:textId="092D6442" w:rsidR="00BC4688" w:rsidRPr="00BC4688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Посаженникова Василия Григорьевича - </w:t>
      </w:r>
      <w:r w:rsidR="006C4D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4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общественного совета</w:t>
      </w:r>
    </w:p>
    <w:p w14:paraId="74B10B97" w14:textId="77777777" w:rsidR="00BC4688" w:rsidRPr="00BC4688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699C4" w14:textId="437290F9" w:rsidR="00BC4688" w:rsidRPr="00BC4688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третьему</w:t>
      </w:r>
      <w:r w:rsidRPr="00BC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вопросу:</w:t>
      </w:r>
    </w:p>
    <w:p w14:paraId="4915BC0F" w14:textId="6951B5F3" w:rsidR="00BC4688" w:rsidRPr="00BC4688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8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план работы заседания общественного совета Горьковского муниципального района (далее - Совет)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61DC6CB4" w14:textId="77777777" w:rsidR="00BC4688" w:rsidRPr="00BC4688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88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2.Ответственным за подготовку вопросов соблюдать сроки предоставления исполнителями информации и проектов решений Совета.</w:t>
      </w:r>
    </w:p>
    <w:p w14:paraId="60432CC0" w14:textId="77777777" w:rsidR="00BC4688" w:rsidRPr="00BC4688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3.Ежеквартально на заседании Совета рассматривать вопрос об исполнении ранее принятых решений. </w:t>
      </w:r>
    </w:p>
    <w:p w14:paraId="7BC4A098" w14:textId="0C18A928" w:rsidR="00BC4688" w:rsidRPr="00F6654B" w:rsidRDefault="00BC4688" w:rsidP="00BC4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688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выполнением настоящего постановления оставляю за собой.</w:t>
      </w:r>
    </w:p>
    <w:p w14:paraId="4151E70C" w14:textId="77777777" w:rsidR="00BC4688" w:rsidRPr="003240A3" w:rsidRDefault="00BC4688" w:rsidP="00BC4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0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A663A1" w14:textId="77777777" w:rsidR="00BC4688" w:rsidRPr="003240A3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8DD2D" w14:textId="77777777" w:rsidR="00BC4688" w:rsidRPr="003240A3" w:rsidRDefault="00BC4688" w:rsidP="00BC4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В.Г. Посаженников </w:t>
      </w:r>
    </w:p>
    <w:p w14:paraId="3359B7FA" w14:textId="77777777" w:rsidR="00BC4688" w:rsidRDefault="00BC4688" w:rsidP="00BC4688"/>
    <w:p w14:paraId="5F837DE9" w14:textId="77777777" w:rsidR="008167CE" w:rsidRDefault="008167CE"/>
    <w:sectPr w:rsidR="0081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F53A0"/>
    <w:multiLevelType w:val="hybridMultilevel"/>
    <w:tmpl w:val="AD2E5218"/>
    <w:lvl w:ilvl="0" w:tplc="ABFC7B9C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CE"/>
    <w:rsid w:val="00441CD3"/>
    <w:rsid w:val="006C4DC3"/>
    <w:rsid w:val="008167CE"/>
    <w:rsid w:val="00BC4688"/>
    <w:rsid w:val="00FD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2734"/>
  <w15:chartTrackingRefBased/>
  <w15:docId w15:val="{5C1D036B-EE6D-4E49-ADCF-5A9B6A2C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2024-12-24T01:49:00Z</dcterms:created>
  <dcterms:modified xsi:type="dcterms:W3CDTF">2025-01-20T10:04:00Z</dcterms:modified>
</cp:coreProperties>
</file>