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4717" w:type="dxa"/>
        <w:tblInd w:w="53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7"/>
      </w:tblGrid>
      <w:tr w:rsidR="00BF3C86" w:rsidTr="00C82754">
        <w:trPr>
          <w:trHeight w:val="2268"/>
        </w:trPr>
        <w:tc>
          <w:tcPr>
            <w:tcW w:w="4717" w:type="dxa"/>
          </w:tcPr>
          <w:p w:rsidR="00BF3C86" w:rsidRDefault="004133C9" w:rsidP="00123A72">
            <w:pPr>
              <w:autoSpaceDE w:val="0"/>
              <w:autoSpaceDN w:val="0"/>
              <w:adjustRightInd w:val="0"/>
              <w:jc w:val="both"/>
              <w:rPr>
                <w:sz w:val="28"/>
                <w:szCs w:val="28"/>
              </w:rPr>
            </w:pPr>
            <w:r>
              <w:rPr>
                <w:sz w:val="28"/>
                <w:szCs w:val="28"/>
              </w:rPr>
              <w:t>Приложение № 4</w:t>
            </w:r>
          </w:p>
          <w:p w:rsidR="00BF3C86" w:rsidRDefault="00BF3C86" w:rsidP="00123A72">
            <w:pPr>
              <w:autoSpaceDE w:val="0"/>
              <w:autoSpaceDN w:val="0"/>
              <w:adjustRightInd w:val="0"/>
              <w:jc w:val="both"/>
              <w:rPr>
                <w:sz w:val="28"/>
                <w:szCs w:val="28"/>
              </w:rPr>
            </w:pPr>
            <w:r>
              <w:rPr>
                <w:sz w:val="28"/>
                <w:szCs w:val="28"/>
              </w:rPr>
              <w:t xml:space="preserve">к постановлению Главы </w:t>
            </w:r>
          </w:p>
          <w:p w:rsidR="00BF3C86" w:rsidRDefault="00BF3C86" w:rsidP="00123A72">
            <w:pPr>
              <w:autoSpaceDE w:val="0"/>
              <w:autoSpaceDN w:val="0"/>
              <w:adjustRightInd w:val="0"/>
              <w:jc w:val="both"/>
              <w:rPr>
                <w:sz w:val="28"/>
                <w:szCs w:val="28"/>
              </w:rPr>
            </w:pPr>
            <w:r>
              <w:rPr>
                <w:sz w:val="28"/>
                <w:szCs w:val="28"/>
              </w:rPr>
              <w:t xml:space="preserve">Горьковского муниципального </w:t>
            </w:r>
          </w:p>
          <w:p w:rsidR="00BF3C86" w:rsidRDefault="00BF3C86" w:rsidP="00123A72">
            <w:pPr>
              <w:autoSpaceDE w:val="0"/>
              <w:autoSpaceDN w:val="0"/>
              <w:adjustRightInd w:val="0"/>
              <w:jc w:val="both"/>
              <w:rPr>
                <w:sz w:val="28"/>
                <w:szCs w:val="28"/>
              </w:rPr>
            </w:pPr>
            <w:r>
              <w:rPr>
                <w:sz w:val="28"/>
                <w:szCs w:val="28"/>
              </w:rPr>
              <w:t xml:space="preserve">района Омской области </w:t>
            </w:r>
          </w:p>
          <w:p w:rsidR="00BF3C86" w:rsidRDefault="00C02493" w:rsidP="00123A72">
            <w:pPr>
              <w:tabs>
                <w:tab w:val="left" w:pos="3345"/>
              </w:tabs>
              <w:autoSpaceDE w:val="0"/>
              <w:autoSpaceDN w:val="0"/>
              <w:adjustRightInd w:val="0"/>
              <w:jc w:val="both"/>
              <w:rPr>
                <w:sz w:val="28"/>
                <w:szCs w:val="28"/>
              </w:rPr>
            </w:pPr>
            <w:r>
              <w:rPr>
                <w:sz w:val="28"/>
                <w:szCs w:val="28"/>
              </w:rPr>
              <w:t xml:space="preserve">от </w:t>
            </w:r>
            <w:r>
              <w:rPr>
                <w:sz w:val="28"/>
                <w:szCs w:val="28"/>
                <w:u w:val="single"/>
              </w:rPr>
              <w:t>24.01.2025</w:t>
            </w:r>
            <w:r>
              <w:rPr>
                <w:sz w:val="28"/>
                <w:szCs w:val="28"/>
              </w:rPr>
              <w:t xml:space="preserve">  № </w:t>
            </w:r>
            <w:r>
              <w:rPr>
                <w:sz w:val="28"/>
                <w:szCs w:val="28"/>
                <w:u w:val="single"/>
              </w:rPr>
              <w:t>23</w:t>
            </w:r>
            <w:bookmarkStart w:id="0" w:name="_GoBack"/>
            <w:bookmarkEnd w:id="0"/>
          </w:p>
        </w:tc>
      </w:tr>
    </w:tbl>
    <w:p w:rsidR="004133C9" w:rsidRPr="004133C9" w:rsidRDefault="004133C9" w:rsidP="00123A72">
      <w:pPr>
        <w:widowControl w:val="0"/>
        <w:jc w:val="center"/>
        <w:rPr>
          <w:sz w:val="28"/>
          <w:szCs w:val="28"/>
          <w:lang w:bidi="ru-RU"/>
        </w:rPr>
      </w:pPr>
      <w:r w:rsidRPr="004133C9">
        <w:rPr>
          <w:bCs/>
          <w:sz w:val="28"/>
          <w:szCs w:val="28"/>
          <w:lang w:bidi="ru-RU"/>
        </w:rPr>
        <w:t>Доклад</w:t>
      </w:r>
    </w:p>
    <w:p w:rsidR="004133C9" w:rsidRDefault="004133C9" w:rsidP="00123A72">
      <w:pPr>
        <w:widowControl w:val="0"/>
        <w:spacing w:after="140"/>
        <w:jc w:val="center"/>
        <w:rPr>
          <w:bCs/>
          <w:sz w:val="28"/>
          <w:szCs w:val="28"/>
          <w:lang w:bidi="ru-RU"/>
        </w:rPr>
      </w:pPr>
      <w:r w:rsidRPr="004133C9">
        <w:rPr>
          <w:bCs/>
          <w:sz w:val="28"/>
          <w:szCs w:val="28"/>
          <w:lang w:bidi="ru-RU"/>
        </w:rPr>
        <w:t>об организации системы внутреннего обеспечения соответствия</w:t>
      </w:r>
      <w:r w:rsidRPr="004133C9">
        <w:rPr>
          <w:bCs/>
          <w:sz w:val="28"/>
          <w:szCs w:val="28"/>
          <w:lang w:bidi="ru-RU"/>
        </w:rPr>
        <w:br/>
        <w:t>требованиям антимонопольного законодательства в Администрации Горьковского муниципального</w:t>
      </w:r>
      <w:r w:rsidR="00417B65">
        <w:rPr>
          <w:bCs/>
          <w:sz w:val="28"/>
          <w:szCs w:val="28"/>
          <w:lang w:bidi="ru-RU"/>
        </w:rPr>
        <w:t xml:space="preserve"> </w:t>
      </w:r>
      <w:r w:rsidRPr="004133C9">
        <w:rPr>
          <w:bCs/>
          <w:sz w:val="28"/>
          <w:szCs w:val="28"/>
          <w:lang w:bidi="ru-RU"/>
        </w:rPr>
        <w:t>района Омской области в 202</w:t>
      </w:r>
      <w:r>
        <w:rPr>
          <w:bCs/>
          <w:sz w:val="28"/>
          <w:szCs w:val="28"/>
          <w:lang w:bidi="ru-RU"/>
        </w:rPr>
        <w:t>4</w:t>
      </w:r>
      <w:r w:rsidRPr="004133C9">
        <w:rPr>
          <w:bCs/>
          <w:sz w:val="28"/>
          <w:szCs w:val="28"/>
          <w:lang w:bidi="ru-RU"/>
        </w:rPr>
        <w:t xml:space="preserve"> году</w:t>
      </w:r>
    </w:p>
    <w:p w:rsidR="00417B65" w:rsidRPr="004133C9" w:rsidRDefault="00417B65" w:rsidP="00123A72">
      <w:pPr>
        <w:widowControl w:val="0"/>
        <w:jc w:val="center"/>
        <w:rPr>
          <w:sz w:val="28"/>
          <w:szCs w:val="28"/>
          <w:lang w:bidi="ru-RU"/>
        </w:rPr>
      </w:pPr>
    </w:p>
    <w:p w:rsidR="004133C9" w:rsidRPr="004133C9" w:rsidRDefault="004133C9" w:rsidP="00123A72">
      <w:pPr>
        <w:widowControl w:val="0"/>
        <w:ind w:firstLine="720"/>
        <w:jc w:val="both"/>
        <w:rPr>
          <w:sz w:val="28"/>
          <w:szCs w:val="28"/>
          <w:lang w:bidi="ru-RU"/>
        </w:rPr>
      </w:pPr>
      <w:proofErr w:type="gramStart"/>
      <w:r w:rsidRPr="004133C9">
        <w:rPr>
          <w:sz w:val="28"/>
          <w:szCs w:val="28"/>
          <w:lang w:bidi="ru-RU"/>
        </w:rPr>
        <w:t>Во исполнение Указа Президента Российской Федерации от 21.12.2017</w:t>
      </w:r>
      <w:r>
        <w:rPr>
          <w:sz w:val="28"/>
          <w:szCs w:val="28"/>
          <w:lang w:bidi="ru-RU"/>
        </w:rPr>
        <w:t xml:space="preserve"> года</w:t>
      </w:r>
      <w:r w:rsidRPr="004133C9">
        <w:rPr>
          <w:sz w:val="28"/>
          <w:szCs w:val="28"/>
          <w:lang w:bidi="ru-RU"/>
        </w:rPr>
        <w:t xml:space="preserve"> № 618 «Об основных направлениях государственной политики по развитию конкуренции», распоряжения Губернатора Омской области от 17.01.2019</w:t>
      </w:r>
      <w:r>
        <w:rPr>
          <w:sz w:val="28"/>
          <w:szCs w:val="28"/>
          <w:lang w:bidi="ru-RU"/>
        </w:rPr>
        <w:t xml:space="preserve"> года</w:t>
      </w:r>
      <w:r w:rsidRPr="004133C9">
        <w:rPr>
          <w:sz w:val="28"/>
          <w:szCs w:val="28"/>
          <w:lang w:bidi="ru-RU"/>
        </w:rPr>
        <w:t xml:space="preserve"> № 1 «О мерах, направленных на создание и организацию системы внутреннего обеспечения соответствия требованиям антимонопольного законодательства деятельности органов исполнительной власти Омской области</w:t>
      </w:r>
      <w:r w:rsidR="00EA0321">
        <w:rPr>
          <w:sz w:val="28"/>
          <w:szCs w:val="28"/>
          <w:lang w:bidi="ru-RU"/>
        </w:rPr>
        <w:t>»</w:t>
      </w:r>
      <w:r w:rsidRPr="004133C9">
        <w:rPr>
          <w:sz w:val="28"/>
          <w:szCs w:val="28"/>
          <w:lang w:bidi="ru-RU"/>
        </w:rPr>
        <w:t xml:space="preserve">, в Администрации Горьковского муниципального района Омской области (далее - Администрация) принято постановление от 09.04.2020 </w:t>
      </w:r>
      <w:r>
        <w:rPr>
          <w:sz w:val="28"/>
          <w:szCs w:val="28"/>
          <w:lang w:bidi="ru-RU"/>
        </w:rPr>
        <w:t>года</w:t>
      </w:r>
      <w:proofErr w:type="gramEnd"/>
      <w:r>
        <w:rPr>
          <w:sz w:val="28"/>
          <w:szCs w:val="28"/>
          <w:lang w:bidi="ru-RU"/>
        </w:rPr>
        <w:t xml:space="preserve"> </w:t>
      </w:r>
      <w:r w:rsidRPr="004133C9">
        <w:rPr>
          <w:sz w:val="28"/>
          <w:szCs w:val="28"/>
          <w:lang w:bidi="ru-RU"/>
        </w:rPr>
        <w:t xml:space="preserve">№ 111 «О системе внутреннего обеспечения соответствия требованиям антимонопольного законодательства </w:t>
      </w:r>
      <w:r>
        <w:rPr>
          <w:sz w:val="28"/>
          <w:szCs w:val="28"/>
          <w:lang w:bidi="ru-RU"/>
        </w:rPr>
        <w:t xml:space="preserve">деятельности </w:t>
      </w:r>
      <w:r w:rsidRPr="004133C9">
        <w:rPr>
          <w:sz w:val="28"/>
          <w:szCs w:val="28"/>
          <w:lang w:bidi="ru-RU"/>
        </w:rPr>
        <w:t>Администрации Горьковского муниципального района Омской области».</w:t>
      </w:r>
    </w:p>
    <w:p w:rsidR="004133C9" w:rsidRPr="004133C9" w:rsidRDefault="004133C9" w:rsidP="00123A72">
      <w:pPr>
        <w:widowControl w:val="0"/>
        <w:ind w:firstLine="720"/>
        <w:jc w:val="both"/>
        <w:rPr>
          <w:sz w:val="28"/>
          <w:szCs w:val="28"/>
          <w:lang w:bidi="ru-RU"/>
        </w:rPr>
      </w:pPr>
      <w:r>
        <w:rPr>
          <w:sz w:val="28"/>
          <w:szCs w:val="28"/>
          <w:lang w:bidi="ru-RU"/>
        </w:rPr>
        <w:t>Администрацией</w:t>
      </w:r>
      <w:r w:rsidRPr="004133C9">
        <w:rPr>
          <w:sz w:val="28"/>
          <w:szCs w:val="28"/>
          <w:lang w:bidi="ru-RU"/>
        </w:rPr>
        <w:t xml:space="preserve"> Горьковского муниципального района Омской области </w:t>
      </w:r>
      <w:r>
        <w:rPr>
          <w:sz w:val="28"/>
          <w:szCs w:val="28"/>
          <w:lang w:bidi="ru-RU"/>
        </w:rPr>
        <w:t xml:space="preserve">разработаны </w:t>
      </w:r>
      <w:r w:rsidRPr="004133C9">
        <w:rPr>
          <w:sz w:val="28"/>
          <w:szCs w:val="28"/>
          <w:lang w:bidi="ru-RU"/>
        </w:rPr>
        <w:t>Карта комплаенс-рисков</w:t>
      </w:r>
      <w:r>
        <w:rPr>
          <w:sz w:val="28"/>
          <w:szCs w:val="28"/>
          <w:lang w:bidi="ru-RU"/>
        </w:rPr>
        <w:t>, План мероприятий («дорожная карта») по снижению комплаенс-рисков,</w:t>
      </w:r>
      <w:r w:rsidRPr="004133C9">
        <w:rPr>
          <w:sz w:val="28"/>
          <w:szCs w:val="28"/>
          <w:lang w:bidi="ru-RU"/>
        </w:rPr>
        <w:t xml:space="preserve"> Перечень </w:t>
      </w:r>
      <w:r w:rsidR="00D364F1" w:rsidRPr="00D364F1">
        <w:rPr>
          <w:sz w:val="28"/>
          <w:szCs w:val="28"/>
          <w:lang w:bidi="ru-RU"/>
        </w:rPr>
        <w:t xml:space="preserve">ключевых показателей эффективности антимонопольного комплаенса </w:t>
      </w:r>
      <w:r w:rsidRPr="004133C9">
        <w:rPr>
          <w:sz w:val="28"/>
          <w:szCs w:val="28"/>
          <w:lang w:bidi="ru-RU"/>
        </w:rPr>
        <w:t xml:space="preserve">Администрации Горьковского муниципального района Омской области   и методика их расчета. </w:t>
      </w:r>
    </w:p>
    <w:p w:rsidR="004133C9" w:rsidRPr="004133C9" w:rsidRDefault="004133C9" w:rsidP="00123A72">
      <w:pPr>
        <w:widowControl w:val="0"/>
        <w:ind w:firstLine="720"/>
        <w:jc w:val="both"/>
        <w:rPr>
          <w:sz w:val="28"/>
          <w:szCs w:val="28"/>
          <w:lang w:bidi="ru-RU"/>
        </w:rPr>
      </w:pPr>
      <w:r w:rsidRPr="004133C9">
        <w:rPr>
          <w:sz w:val="28"/>
          <w:szCs w:val="28"/>
          <w:lang w:bidi="ru-RU"/>
        </w:rPr>
        <w:t xml:space="preserve">В соответствие с  картой </w:t>
      </w:r>
      <w:r w:rsidR="00D364F1" w:rsidRPr="00D364F1">
        <w:rPr>
          <w:sz w:val="28"/>
          <w:szCs w:val="28"/>
          <w:lang w:bidi="ru-RU"/>
        </w:rPr>
        <w:t>комплаенс-рисков</w:t>
      </w:r>
      <w:r w:rsidRPr="004133C9">
        <w:rPr>
          <w:sz w:val="28"/>
          <w:szCs w:val="28"/>
          <w:lang w:bidi="ru-RU"/>
        </w:rPr>
        <w:t xml:space="preserve">, нарушения антимонопольного законодательства </w:t>
      </w:r>
      <w:r w:rsidR="00D364F1">
        <w:rPr>
          <w:sz w:val="28"/>
          <w:szCs w:val="28"/>
          <w:lang w:bidi="ru-RU"/>
        </w:rPr>
        <w:t xml:space="preserve"> в Администрации </w:t>
      </w:r>
      <w:r w:rsidR="00050D8D">
        <w:rPr>
          <w:sz w:val="28"/>
          <w:szCs w:val="28"/>
          <w:lang w:bidi="ru-RU"/>
        </w:rPr>
        <w:t>могут возникнуть</w:t>
      </w:r>
      <w:r w:rsidRPr="004133C9">
        <w:rPr>
          <w:sz w:val="28"/>
          <w:szCs w:val="28"/>
          <w:lang w:bidi="ru-RU"/>
        </w:rPr>
        <w:t>:</w:t>
      </w:r>
    </w:p>
    <w:p w:rsidR="004133C9" w:rsidRPr="004133C9" w:rsidRDefault="004133C9" w:rsidP="00123A72">
      <w:pPr>
        <w:widowControl w:val="0"/>
        <w:numPr>
          <w:ilvl w:val="0"/>
          <w:numId w:val="2"/>
        </w:numPr>
        <w:tabs>
          <w:tab w:val="left" w:pos="958"/>
        </w:tabs>
        <w:ind w:firstLine="709"/>
        <w:jc w:val="both"/>
        <w:rPr>
          <w:sz w:val="28"/>
          <w:szCs w:val="28"/>
          <w:lang w:bidi="ru-RU"/>
        </w:rPr>
      </w:pPr>
      <w:r w:rsidRPr="004133C9">
        <w:rPr>
          <w:sz w:val="28"/>
          <w:szCs w:val="28"/>
          <w:lang w:bidi="ru-RU"/>
        </w:rPr>
        <w:t>при подготовке ответов на обращения физических и юридических лиц;</w:t>
      </w:r>
    </w:p>
    <w:p w:rsidR="004133C9" w:rsidRPr="004133C9" w:rsidRDefault="004133C9" w:rsidP="00123A72">
      <w:pPr>
        <w:widowControl w:val="0"/>
        <w:numPr>
          <w:ilvl w:val="0"/>
          <w:numId w:val="2"/>
        </w:numPr>
        <w:tabs>
          <w:tab w:val="left" w:pos="958"/>
        </w:tabs>
        <w:ind w:firstLine="709"/>
        <w:jc w:val="both"/>
        <w:rPr>
          <w:sz w:val="28"/>
          <w:szCs w:val="28"/>
          <w:lang w:bidi="ru-RU"/>
        </w:rPr>
      </w:pPr>
      <w:r w:rsidRPr="004133C9">
        <w:rPr>
          <w:sz w:val="28"/>
          <w:szCs w:val="28"/>
          <w:lang w:bidi="ru-RU"/>
        </w:rPr>
        <w:t>нарушение при осуществлении закупок товаров, работ, услуг для муниципальных нужд путем утверждения конкурсной документации, документации об электронном аукционе, документации о запросе предложений и документов о проведении запроса котировок, повлекшее за собой нарушение антимонопольного законодательства;</w:t>
      </w:r>
    </w:p>
    <w:p w:rsidR="00F14368" w:rsidRPr="004133C9" w:rsidRDefault="004133C9" w:rsidP="00123A72">
      <w:pPr>
        <w:widowControl w:val="0"/>
        <w:numPr>
          <w:ilvl w:val="0"/>
          <w:numId w:val="2"/>
        </w:numPr>
        <w:tabs>
          <w:tab w:val="left" w:pos="958"/>
        </w:tabs>
        <w:ind w:firstLine="567"/>
        <w:jc w:val="both"/>
        <w:rPr>
          <w:sz w:val="28"/>
          <w:szCs w:val="28"/>
          <w:lang w:bidi="ru-RU"/>
        </w:rPr>
      </w:pPr>
      <w:r w:rsidRPr="004133C9">
        <w:rPr>
          <w:sz w:val="28"/>
          <w:szCs w:val="28"/>
          <w:lang w:bidi="ru-RU"/>
        </w:rPr>
        <w:t>нарушение при осуществлении закупок товаров, работ, услуг для муниципальных нужд путем выбора способа определения поставщика (подрядчика, исполнителя), повлекшее за собой нарушение антимонопольного законодательства;</w:t>
      </w:r>
    </w:p>
    <w:p w:rsidR="004133C9" w:rsidRPr="004133C9" w:rsidRDefault="004133C9" w:rsidP="00123A72">
      <w:pPr>
        <w:widowControl w:val="0"/>
        <w:numPr>
          <w:ilvl w:val="0"/>
          <w:numId w:val="2"/>
        </w:numPr>
        <w:tabs>
          <w:tab w:val="left" w:pos="986"/>
        </w:tabs>
        <w:ind w:firstLine="567"/>
        <w:jc w:val="both"/>
        <w:rPr>
          <w:sz w:val="28"/>
          <w:szCs w:val="28"/>
          <w:lang w:bidi="ru-RU"/>
        </w:rPr>
      </w:pPr>
      <w:r w:rsidRPr="004133C9">
        <w:rPr>
          <w:sz w:val="28"/>
          <w:szCs w:val="28"/>
          <w:lang w:bidi="ru-RU"/>
        </w:rPr>
        <w:t xml:space="preserve">нарушение при владении, пользовании и распоряжении </w:t>
      </w:r>
      <w:r w:rsidRPr="004133C9">
        <w:rPr>
          <w:sz w:val="28"/>
          <w:szCs w:val="28"/>
          <w:lang w:bidi="ru-RU"/>
        </w:rPr>
        <w:lastRenderedPageBreak/>
        <w:t>муниципальным имуществом, повлекшее за собой нарушение антимонопольного законодательства;</w:t>
      </w:r>
    </w:p>
    <w:p w:rsidR="004133C9" w:rsidRPr="004133C9" w:rsidRDefault="008D12C7" w:rsidP="00123A72">
      <w:pPr>
        <w:widowControl w:val="0"/>
        <w:numPr>
          <w:ilvl w:val="0"/>
          <w:numId w:val="2"/>
        </w:numPr>
        <w:tabs>
          <w:tab w:val="left" w:pos="986"/>
        </w:tabs>
        <w:ind w:firstLine="567"/>
        <w:jc w:val="both"/>
        <w:rPr>
          <w:sz w:val="28"/>
          <w:szCs w:val="28"/>
          <w:lang w:bidi="ru-RU"/>
        </w:rPr>
      </w:pPr>
      <w:r>
        <w:rPr>
          <w:sz w:val="28"/>
          <w:szCs w:val="28"/>
          <w:lang w:bidi="ru-RU"/>
        </w:rPr>
        <w:t>н</w:t>
      </w:r>
      <w:r w:rsidRPr="008D12C7">
        <w:rPr>
          <w:sz w:val="28"/>
          <w:szCs w:val="28"/>
          <w:lang w:bidi="ru-RU"/>
        </w:rPr>
        <w:t>арушение порядка предоставления муниципальной услуги, которое может привести к ограничению и недопущению</w:t>
      </w:r>
      <w:r>
        <w:rPr>
          <w:sz w:val="28"/>
          <w:szCs w:val="28"/>
          <w:lang w:bidi="ru-RU"/>
        </w:rPr>
        <w:t xml:space="preserve"> </w:t>
      </w:r>
      <w:r w:rsidRPr="008D12C7">
        <w:rPr>
          <w:sz w:val="28"/>
          <w:szCs w:val="28"/>
          <w:lang w:bidi="ru-RU"/>
        </w:rPr>
        <w:t>конкуренции</w:t>
      </w:r>
      <w:r w:rsidR="004133C9" w:rsidRPr="004133C9">
        <w:rPr>
          <w:sz w:val="28"/>
          <w:szCs w:val="28"/>
          <w:lang w:bidi="ru-RU"/>
        </w:rPr>
        <w:t>;</w:t>
      </w:r>
    </w:p>
    <w:p w:rsidR="008D12C7" w:rsidRDefault="004133C9" w:rsidP="00123A72">
      <w:pPr>
        <w:widowControl w:val="0"/>
        <w:numPr>
          <w:ilvl w:val="0"/>
          <w:numId w:val="2"/>
        </w:numPr>
        <w:tabs>
          <w:tab w:val="left" w:pos="986"/>
        </w:tabs>
        <w:ind w:firstLine="567"/>
        <w:jc w:val="both"/>
        <w:rPr>
          <w:sz w:val="28"/>
          <w:szCs w:val="28"/>
          <w:lang w:bidi="ru-RU"/>
        </w:rPr>
      </w:pPr>
      <w:r w:rsidRPr="004133C9">
        <w:rPr>
          <w:sz w:val="28"/>
          <w:szCs w:val="28"/>
          <w:lang w:bidi="ru-RU"/>
        </w:rPr>
        <w:t>нарушение при оказании финансовой поддержки субъектам малого и среднего предпринимательства, социально ориентированным некоммерческим организациям, повлекшее за собой нарушение антимонопольного законодательства;</w:t>
      </w:r>
    </w:p>
    <w:p w:rsidR="004133C9" w:rsidRPr="004133C9" w:rsidRDefault="004133C9" w:rsidP="00123A72">
      <w:pPr>
        <w:widowControl w:val="0"/>
        <w:numPr>
          <w:ilvl w:val="0"/>
          <w:numId w:val="2"/>
        </w:numPr>
        <w:tabs>
          <w:tab w:val="left" w:pos="986"/>
        </w:tabs>
        <w:ind w:firstLine="567"/>
        <w:jc w:val="both"/>
        <w:rPr>
          <w:sz w:val="28"/>
          <w:szCs w:val="28"/>
          <w:lang w:bidi="ru-RU"/>
        </w:rPr>
      </w:pPr>
      <w:r w:rsidRPr="004133C9">
        <w:rPr>
          <w:sz w:val="28"/>
          <w:szCs w:val="28"/>
          <w:lang w:bidi="ru-RU"/>
        </w:rPr>
        <w:t>принятие нормативных правовых актов, в которых имеются риски нарушения антимонопольного законодательства.</w:t>
      </w:r>
    </w:p>
    <w:p w:rsidR="004133C9" w:rsidRPr="004133C9" w:rsidRDefault="004133C9" w:rsidP="00123A72">
      <w:pPr>
        <w:widowControl w:val="0"/>
        <w:ind w:firstLine="600"/>
        <w:jc w:val="both"/>
        <w:rPr>
          <w:sz w:val="28"/>
          <w:szCs w:val="28"/>
          <w:lang w:bidi="ru-RU"/>
        </w:rPr>
      </w:pPr>
      <w:r w:rsidRPr="004133C9">
        <w:rPr>
          <w:sz w:val="28"/>
          <w:szCs w:val="28"/>
          <w:lang w:bidi="ru-RU"/>
        </w:rPr>
        <w:t>В целях снижения рисков нарушения антимонопольного законодательства проведена экспертиза правовых актов Администрации на предмет выявления в них комплаенс-рисков. Проекты муниципальных нормативных правовых актов органов местного самоуправления Горьковского муниципального района Омской области (далее по тексту - МНПА) направлялись на согласование в прокуратуру Горьковского муниципального района Омской области. Специалистом по ведению Регистра муниципальных нормативных правовых актов в Главное государственно-правовое управление Омской области</w:t>
      </w:r>
      <w:r w:rsidR="00006139">
        <w:rPr>
          <w:sz w:val="28"/>
          <w:szCs w:val="28"/>
          <w:lang w:bidi="ru-RU"/>
        </w:rPr>
        <w:t xml:space="preserve"> в 2024 году</w:t>
      </w:r>
      <w:r w:rsidRPr="004133C9">
        <w:rPr>
          <w:sz w:val="28"/>
          <w:szCs w:val="28"/>
          <w:lang w:bidi="ru-RU"/>
        </w:rPr>
        <w:t xml:space="preserve"> направлено </w:t>
      </w:r>
      <w:r w:rsidR="00006139">
        <w:rPr>
          <w:sz w:val="28"/>
          <w:szCs w:val="28"/>
          <w:lang w:bidi="ru-RU"/>
        </w:rPr>
        <w:t>277 М</w:t>
      </w:r>
      <w:r w:rsidRPr="004133C9">
        <w:rPr>
          <w:sz w:val="28"/>
          <w:szCs w:val="28"/>
          <w:lang w:bidi="ru-RU"/>
        </w:rPr>
        <w:t>НПА. Каких-либо замечаний о наличии в МНПА нарушений антимонопольного законодательства от вышеуказанных организаций не поступало. Рисков нарушения антимонопо</w:t>
      </w:r>
      <w:r w:rsidRPr="004133C9">
        <w:rPr>
          <w:color w:val="17181C"/>
          <w:sz w:val="28"/>
          <w:szCs w:val="28"/>
          <w:lang w:bidi="ru-RU"/>
        </w:rPr>
        <w:t>л</w:t>
      </w:r>
      <w:r w:rsidRPr="004133C9">
        <w:rPr>
          <w:sz w:val="28"/>
          <w:szCs w:val="28"/>
          <w:lang w:bidi="ru-RU"/>
        </w:rPr>
        <w:t>ь</w:t>
      </w:r>
      <w:r w:rsidRPr="004133C9">
        <w:rPr>
          <w:color w:val="17181C"/>
          <w:sz w:val="28"/>
          <w:szCs w:val="28"/>
          <w:lang w:bidi="ru-RU"/>
        </w:rPr>
        <w:t xml:space="preserve">ного </w:t>
      </w:r>
      <w:r w:rsidRPr="004133C9">
        <w:rPr>
          <w:sz w:val="28"/>
          <w:szCs w:val="28"/>
          <w:lang w:bidi="ru-RU"/>
        </w:rPr>
        <w:t>законодательства за отчетный период не выявлено.</w:t>
      </w:r>
    </w:p>
    <w:p w:rsidR="004133C9" w:rsidRPr="004133C9" w:rsidRDefault="004133C9" w:rsidP="00123A72">
      <w:pPr>
        <w:widowControl w:val="0"/>
        <w:ind w:firstLine="600"/>
        <w:jc w:val="both"/>
        <w:rPr>
          <w:sz w:val="28"/>
          <w:szCs w:val="28"/>
          <w:lang w:bidi="ru-RU"/>
        </w:rPr>
      </w:pPr>
      <w:r w:rsidRPr="004133C9">
        <w:rPr>
          <w:sz w:val="28"/>
          <w:szCs w:val="28"/>
          <w:lang w:bidi="ru-RU"/>
        </w:rPr>
        <w:t xml:space="preserve">Структурным подразделением, ответственным за функционирование антимонопольного комплаенса, проведен анализ нормативно правовых актов Администрации Горьковского муниципального района, нормативных правовых актов Главы Горьковского муниципального района, нормативных правовых актов Совета Горьковского муниципального района, на их соответствие антимонопольному законодательству, в рамках своей компетенции. В общей сложности проверено </w:t>
      </w:r>
      <w:r w:rsidR="00E3797E">
        <w:rPr>
          <w:sz w:val="28"/>
          <w:szCs w:val="28"/>
          <w:lang w:bidi="ru-RU"/>
        </w:rPr>
        <w:t>277</w:t>
      </w:r>
      <w:r w:rsidRPr="004133C9">
        <w:rPr>
          <w:sz w:val="28"/>
          <w:szCs w:val="28"/>
          <w:lang w:bidi="ru-RU"/>
        </w:rPr>
        <w:t xml:space="preserve"> нормативных правовых актов. По результатам данного анализа сделан вывод о соответствии антимонопольному законодательству действующих нормативных правовых актов.</w:t>
      </w:r>
    </w:p>
    <w:p w:rsidR="004133C9" w:rsidRPr="004133C9" w:rsidRDefault="004133C9" w:rsidP="00123A72">
      <w:pPr>
        <w:widowControl w:val="0"/>
        <w:ind w:firstLine="600"/>
        <w:jc w:val="both"/>
        <w:rPr>
          <w:sz w:val="28"/>
          <w:szCs w:val="28"/>
          <w:lang w:bidi="ru-RU"/>
        </w:rPr>
      </w:pPr>
      <w:r w:rsidRPr="004133C9">
        <w:rPr>
          <w:sz w:val="28"/>
          <w:szCs w:val="28"/>
          <w:lang w:bidi="ru-RU"/>
        </w:rPr>
        <w:t>Одновременно с этим, проведен анализ правоприменительной практики при рассмотрении Федеральной а</w:t>
      </w:r>
      <w:r w:rsidRPr="004133C9">
        <w:rPr>
          <w:color w:val="17181C"/>
          <w:sz w:val="28"/>
          <w:szCs w:val="28"/>
          <w:lang w:bidi="ru-RU"/>
        </w:rPr>
        <w:t>н</w:t>
      </w:r>
      <w:r w:rsidRPr="004133C9">
        <w:rPr>
          <w:sz w:val="28"/>
          <w:szCs w:val="28"/>
          <w:lang w:bidi="ru-RU"/>
        </w:rPr>
        <w:t>т</w:t>
      </w:r>
      <w:r w:rsidRPr="004133C9">
        <w:rPr>
          <w:color w:val="17181C"/>
          <w:sz w:val="28"/>
          <w:szCs w:val="28"/>
          <w:lang w:bidi="ru-RU"/>
        </w:rPr>
        <w:t>имоноп</w:t>
      </w:r>
      <w:r w:rsidRPr="004133C9">
        <w:rPr>
          <w:sz w:val="28"/>
          <w:szCs w:val="28"/>
          <w:lang w:bidi="ru-RU"/>
        </w:rPr>
        <w:t>о</w:t>
      </w:r>
      <w:r w:rsidRPr="004133C9">
        <w:rPr>
          <w:color w:val="17181C"/>
          <w:sz w:val="28"/>
          <w:szCs w:val="28"/>
          <w:lang w:bidi="ru-RU"/>
        </w:rPr>
        <w:t>л</w:t>
      </w:r>
      <w:r w:rsidRPr="004133C9">
        <w:rPr>
          <w:sz w:val="28"/>
          <w:szCs w:val="28"/>
          <w:lang w:bidi="ru-RU"/>
        </w:rPr>
        <w:t>ь</w:t>
      </w:r>
      <w:r w:rsidRPr="004133C9">
        <w:rPr>
          <w:color w:val="17181C"/>
          <w:sz w:val="28"/>
          <w:szCs w:val="28"/>
          <w:lang w:bidi="ru-RU"/>
        </w:rPr>
        <w:t>н</w:t>
      </w:r>
      <w:r w:rsidRPr="004133C9">
        <w:rPr>
          <w:sz w:val="28"/>
          <w:szCs w:val="28"/>
          <w:lang w:bidi="ru-RU"/>
        </w:rPr>
        <w:t>о</w:t>
      </w:r>
      <w:r w:rsidRPr="004133C9">
        <w:rPr>
          <w:color w:val="17181C"/>
          <w:sz w:val="28"/>
          <w:szCs w:val="28"/>
          <w:lang w:bidi="ru-RU"/>
        </w:rPr>
        <w:t xml:space="preserve">й </w:t>
      </w:r>
      <w:r w:rsidRPr="004133C9">
        <w:rPr>
          <w:sz w:val="28"/>
          <w:szCs w:val="28"/>
          <w:lang w:bidi="ru-RU"/>
        </w:rPr>
        <w:t>с</w:t>
      </w:r>
      <w:r w:rsidRPr="004133C9">
        <w:rPr>
          <w:color w:val="17181C"/>
          <w:sz w:val="28"/>
          <w:szCs w:val="28"/>
          <w:lang w:bidi="ru-RU"/>
        </w:rPr>
        <w:t>лужб</w:t>
      </w:r>
      <w:r w:rsidRPr="004133C9">
        <w:rPr>
          <w:sz w:val="28"/>
          <w:szCs w:val="28"/>
          <w:lang w:bidi="ru-RU"/>
        </w:rPr>
        <w:t>о</w:t>
      </w:r>
      <w:r w:rsidRPr="004133C9">
        <w:rPr>
          <w:color w:val="17181C"/>
          <w:sz w:val="28"/>
          <w:szCs w:val="28"/>
          <w:lang w:bidi="ru-RU"/>
        </w:rPr>
        <w:t>й России,</w:t>
      </w:r>
      <w:r w:rsidRPr="004133C9">
        <w:rPr>
          <w:sz w:val="28"/>
          <w:szCs w:val="28"/>
          <w:lang w:bidi="ru-RU"/>
        </w:rPr>
        <w:t xml:space="preserve"> </w:t>
      </w:r>
      <w:r w:rsidRPr="004133C9">
        <w:rPr>
          <w:color w:val="17181C"/>
          <w:sz w:val="28"/>
          <w:szCs w:val="28"/>
          <w:lang w:bidi="ru-RU"/>
        </w:rPr>
        <w:t xml:space="preserve">ее </w:t>
      </w:r>
      <w:r w:rsidRPr="004133C9">
        <w:rPr>
          <w:sz w:val="28"/>
          <w:szCs w:val="28"/>
          <w:lang w:bidi="ru-RU"/>
        </w:rPr>
        <w:t>территориальными органами (</w:t>
      </w:r>
      <w:r w:rsidRPr="004133C9">
        <w:rPr>
          <w:color w:val="17181C"/>
          <w:sz w:val="28"/>
          <w:szCs w:val="28"/>
          <w:lang w:bidi="ru-RU"/>
        </w:rPr>
        <w:t>далее - ФАС России</w:t>
      </w:r>
      <w:r w:rsidRPr="004133C9">
        <w:rPr>
          <w:sz w:val="28"/>
          <w:szCs w:val="28"/>
          <w:lang w:bidi="ru-RU"/>
        </w:rPr>
        <w:t xml:space="preserve">) </w:t>
      </w:r>
      <w:r w:rsidRPr="004133C9">
        <w:rPr>
          <w:color w:val="17181C"/>
          <w:sz w:val="28"/>
          <w:szCs w:val="28"/>
          <w:lang w:bidi="ru-RU"/>
        </w:rPr>
        <w:t>дел,</w:t>
      </w:r>
      <w:r w:rsidRPr="004133C9">
        <w:rPr>
          <w:sz w:val="28"/>
          <w:szCs w:val="28"/>
          <w:lang w:bidi="ru-RU"/>
        </w:rPr>
        <w:t xml:space="preserve"> </w:t>
      </w:r>
      <w:r w:rsidRPr="004133C9">
        <w:rPr>
          <w:color w:val="17181C"/>
          <w:sz w:val="28"/>
          <w:szCs w:val="28"/>
          <w:lang w:bidi="ru-RU"/>
        </w:rPr>
        <w:t xml:space="preserve">связанных с </w:t>
      </w:r>
      <w:r w:rsidRPr="004133C9">
        <w:rPr>
          <w:sz w:val="28"/>
          <w:szCs w:val="28"/>
          <w:lang w:bidi="ru-RU"/>
        </w:rPr>
        <w:t>нарушением Администрацией антимонопольного законодательства.</w:t>
      </w:r>
    </w:p>
    <w:p w:rsidR="004133C9" w:rsidRPr="004133C9" w:rsidRDefault="004133C9" w:rsidP="00123A72">
      <w:pPr>
        <w:widowControl w:val="0"/>
        <w:ind w:firstLine="600"/>
        <w:jc w:val="both"/>
        <w:rPr>
          <w:sz w:val="28"/>
          <w:szCs w:val="28"/>
          <w:lang w:bidi="ru-RU"/>
        </w:rPr>
      </w:pPr>
      <w:r w:rsidRPr="004133C9">
        <w:rPr>
          <w:sz w:val="28"/>
          <w:szCs w:val="28"/>
          <w:lang w:bidi="ru-RU"/>
        </w:rPr>
        <w:t>За 202</w:t>
      </w:r>
      <w:r w:rsidR="00F96E35">
        <w:rPr>
          <w:sz w:val="28"/>
          <w:szCs w:val="28"/>
          <w:lang w:bidi="ru-RU"/>
        </w:rPr>
        <w:t>4</w:t>
      </w:r>
      <w:r w:rsidRPr="004133C9">
        <w:rPr>
          <w:sz w:val="28"/>
          <w:szCs w:val="28"/>
          <w:lang w:bidi="ru-RU"/>
        </w:rPr>
        <w:t xml:space="preserve"> год Омским УФАС при рассмотрении дел о нарушении законодательства о контрактной системе в сфере закупок действий, ограничивающих конкуренцию, выявлено не было, предписаний не выдавалось.</w:t>
      </w:r>
    </w:p>
    <w:p w:rsidR="004133C9" w:rsidRPr="004133C9" w:rsidRDefault="004133C9" w:rsidP="00123A72">
      <w:pPr>
        <w:widowControl w:val="0"/>
        <w:ind w:firstLine="600"/>
        <w:jc w:val="both"/>
        <w:rPr>
          <w:sz w:val="28"/>
          <w:szCs w:val="28"/>
          <w:lang w:bidi="ru-RU"/>
        </w:rPr>
      </w:pPr>
      <w:r w:rsidRPr="004133C9">
        <w:rPr>
          <w:sz w:val="28"/>
          <w:szCs w:val="28"/>
          <w:lang w:bidi="ru-RU"/>
        </w:rPr>
        <w:t>Рассмотрение дел по вопросам применения и возможного нарушения Администрацией норм антимонопольного законодательства в судебных инстанциях не осуществлялось.</w:t>
      </w:r>
    </w:p>
    <w:p w:rsidR="004133C9" w:rsidRPr="004133C9" w:rsidRDefault="004133C9" w:rsidP="00123A72">
      <w:pPr>
        <w:widowControl w:val="0"/>
        <w:ind w:firstLine="600"/>
        <w:jc w:val="both"/>
        <w:rPr>
          <w:sz w:val="28"/>
          <w:szCs w:val="28"/>
          <w:lang w:bidi="ru-RU"/>
        </w:rPr>
      </w:pPr>
      <w:r w:rsidRPr="004133C9">
        <w:rPr>
          <w:sz w:val="28"/>
          <w:szCs w:val="28"/>
          <w:lang w:bidi="ru-RU"/>
        </w:rPr>
        <w:lastRenderedPageBreak/>
        <w:t>Нормативные правовые акты Администрации, в которых ФАС России выявлены нарушения антимонопольного законодательства в указанный период, в Администрации отсутствуют.</w:t>
      </w:r>
    </w:p>
    <w:p w:rsidR="004133C9" w:rsidRPr="004133C9" w:rsidRDefault="004133C9" w:rsidP="00123A72">
      <w:pPr>
        <w:widowControl w:val="0"/>
        <w:ind w:firstLine="720"/>
        <w:jc w:val="both"/>
        <w:rPr>
          <w:sz w:val="28"/>
          <w:szCs w:val="28"/>
          <w:lang w:bidi="ru-RU"/>
        </w:rPr>
      </w:pPr>
      <w:r w:rsidRPr="004133C9">
        <w:rPr>
          <w:sz w:val="28"/>
          <w:szCs w:val="28"/>
          <w:lang w:bidi="ru-RU"/>
        </w:rPr>
        <w:t xml:space="preserve">В рамках исполнению мероприятий по снижению рисков проводилось консультирование муниципальных служащих Администрации по вопросам, связанным с соблюдением антимонопольного законодательства и антимонопольным </w:t>
      </w:r>
      <w:proofErr w:type="spellStart"/>
      <w:r w:rsidRPr="004133C9">
        <w:rPr>
          <w:sz w:val="28"/>
          <w:szCs w:val="28"/>
          <w:lang w:bidi="ru-RU"/>
        </w:rPr>
        <w:t>комплаенсом</w:t>
      </w:r>
      <w:proofErr w:type="spellEnd"/>
      <w:r w:rsidRPr="004133C9">
        <w:rPr>
          <w:sz w:val="28"/>
          <w:szCs w:val="28"/>
          <w:lang w:bidi="ru-RU"/>
        </w:rPr>
        <w:t>.</w:t>
      </w:r>
    </w:p>
    <w:p w:rsidR="004133C9" w:rsidRPr="004133C9" w:rsidRDefault="004133C9" w:rsidP="00123A72">
      <w:pPr>
        <w:widowControl w:val="0"/>
        <w:ind w:firstLine="720"/>
        <w:jc w:val="both"/>
        <w:rPr>
          <w:sz w:val="28"/>
          <w:szCs w:val="28"/>
          <w:lang w:bidi="ru-RU"/>
        </w:rPr>
      </w:pPr>
      <w:r w:rsidRPr="004133C9">
        <w:rPr>
          <w:sz w:val="28"/>
          <w:szCs w:val="28"/>
          <w:lang w:bidi="ru-RU"/>
        </w:rPr>
        <w:t xml:space="preserve">В рамках исполнения мероприятий </w:t>
      </w:r>
      <w:r w:rsidR="00F96E35" w:rsidRPr="00F96E35">
        <w:rPr>
          <w:sz w:val="28"/>
          <w:szCs w:val="28"/>
          <w:lang w:bidi="ru-RU"/>
        </w:rPr>
        <w:t xml:space="preserve">по снижению  </w:t>
      </w:r>
      <w:r w:rsidR="00F96E35">
        <w:rPr>
          <w:sz w:val="28"/>
          <w:szCs w:val="28"/>
          <w:lang w:bidi="ru-RU"/>
        </w:rPr>
        <w:t>нарушений</w:t>
      </w:r>
      <w:r w:rsidRPr="004133C9">
        <w:rPr>
          <w:sz w:val="28"/>
          <w:szCs w:val="28"/>
          <w:lang w:bidi="ru-RU"/>
        </w:rPr>
        <w:t xml:space="preserve"> антимонопольного законодательства в Администрации функционирует сайт Горьковского муниципального района, в котором создан раздел «Антимонопольный комплаенс».</w:t>
      </w:r>
    </w:p>
    <w:p w:rsidR="004133C9" w:rsidRPr="004133C9" w:rsidRDefault="004133C9" w:rsidP="00123A72">
      <w:pPr>
        <w:widowControl w:val="0"/>
        <w:ind w:firstLine="720"/>
        <w:jc w:val="both"/>
        <w:rPr>
          <w:sz w:val="28"/>
          <w:szCs w:val="28"/>
          <w:lang w:bidi="ru-RU"/>
        </w:rPr>
      </w:pPr>
      <w:proofErr w:type="gramStart"/>
      <w:r w:rsidRPr="004133C9">
        <w:rPr>
          <w:sz w:val="28"/>
          <w:szCs w:val="28"/>
          <w:lang w:bidi="ru-RU"/>
        </w:rPr>
        <w:t>В целях оценки эффективности функционирования в Администрации антимонопольного комплаенса, в соответствии с методикой рассчитаны следующие ключевые показатели эффективности (далее - КПЭ): «коэффициент динамики количества нарушений антимонопольного законодательства, допущенных Администрацией в отчетном году по сравнению с предыдущим годом», «коэффициент результативности работы с действующими нормативными правовыми актами Администрации на предмет выявления рисков нарушения антимонопольного законодательства» и «коэффициент результативности работы с проектами нормативных правовых</w:t>
      </w:r>
      <w:proofErr w:type="gramEnd"/>
      <w:r w:rsidRPr="004133C9">
        <w:rPr>
          <w:sz w:val="28"/>
          <w:szCs w:val="28"/>
          <w:lang w:bidi="ru-RU"/>
        </w:rPr>
        <w:t xml:space="preserve"> актов Администрации района на предмет выявления рисков нарушения ант</w:t>
      </w:r>
      <w:r w:rsidR="004E3CEF">
        <w:rPr>
          <w:sz w:val="28"/>
          <w:szCs w:val="28"/>
          <w:lang w:bidi="ru-RU"/>
        </w:rPr>
        <w:t xml:space="preserve">имонопольного законодательства». Их значения </w:t>
      </w:r>
      <w:r w:rsidRPr="004133C9">
        <w:rPr>
          <w:sz w:val="28"/>
          <w:szCs w:val="28"/>
          <w:lang w:bidi="ru-RU"/>
        </w:rPr>
        <w:t>равны 0, посколь</w:t>
      </w:r>
      <w:r w:rsidR="004E3CEF">
        <w:rPr>
          <w:sz w:val="28"/>
          <w:szCs w:val="28"/>
          <w:lang w:bidi="ru-RU"/>
        </w:rPr>
        <w:t xml:space="preserve">ку за отчетный период </w:t>
      </w:r>
      <w:r w:rsidRPr="004133C9">
        <w:rPr>
          <w:sz w:val="28"/>
          <w:szCs w:val="28"/>
          <w:lang w:bidi="ru-RU"/>
        </w:rPr>
        <w:t xml:space="preserve"> нарушения не выявлены.</w:t>
      </w:r>
    </w:p>
    <w:p w:rsidR="004133C9" w:rsidRPr="004133C9" w:rsidRDefault="004133C9" w:rsidP="00123A72">
      <w:pPr>
        <w:widowControl w:val="0"/>
        <w:ind w:firstLine="720"/>
        <w:jc w:val="both"/>
        <w:rPr>
          <w:sz w:val="28"/>
          <w:szCs w:val="28"/>
          <w:lang w:bidi="ru-RU"/>
        </w:rPr>
      </w:pPr>
      <w:r w:rsidRPr="004133C9">
        <w:rPr>
          <w:sz w:val="28"/>
          <w:szCs w:val="28"/>
          <w:lang w:bidi="ru-RU"/>
        </w:rPr>
        <w:t>Для снижения комплаенс-рисков в 202</w:t>
      </w:r>
      <w:r w:rsidR="004E3CEF">
        <w:rPr>
          <w:sz w:val="28"/>
          <w:szCs w:val="28"/>
          <w:lang w:bidi="ru-RU"/>
        </w:rPr>
        <w:t>5</w:t>
      </w:r>
      <w:r w:rsidRPr="004133C9">
        <w:rPr>
          <w:sz w:val="28"/>
          <w:szCs w:val="28"/>
          <w:lang w:bidi="ru-RU"/>
        </w:rPr>
        <w:t xml:space="preserve"> году запланированы следующие мероприятия:</w:t>
      </w:r>
    </w:p>
    <w:p w:rsidR="004133C9" w:rsidRPr="004133C9" w:rsidRDefault="004133C9" w:rsidP="00123A72">
      <w:pPr>
        <w:widowControl w:val="0"/>
        <w:numPr>
          <w:ilvl w:val="0"/>
          <w:numId w:val="2"/>
        </w:numPr>
        <w:tabs>
          <w:tab w:val="left" w:pos="987"/>
        </w:tabs>
        <w:ind w:firstLine="709"/>
        <w:jc w:val="both"/>
        <w:rPr>
          <w:sz w:val="28"/>
          <w:szCs w:val="28"/>
          <w:lang w:bidi="ru-RU"/>
        </w:rPr>
      </w:pPr>
      <w:r w:rsidRPr="004133C9">
        <w:rPr>
          <w:sz w:val="28"/>
          <w:szCs w:val="28"/>
          <w:lang w:bidi="ru-RU"/>
        </w:rPr>
        <w:t xml:space="preserve">проведение экспертизы проектов МНПА Администрации на предмет выявления в них </w:t>
      </w:r>
      <w:r w:rsidR="00731118">
        <w:rPr>
          <w:sz w:val="28"/>
          <w:szCs w:val="28"/>
          <w:lang w:bidi="ru-RU"/>
        </w:rPr>
        <w:t>нарушения антимонопольного законодательства</w:t>
      </w:r>
      <w:r w:rsidRPr="004133C9">
        <w:rPr>
          <w:sz w:val="28"/>
          <w:szCs w:val="28"/>
          <w:lang w:bidi="ru-RU"/>
        </w:rPr>
        <w:t>;</w:t>
      </w:r>
    </w:p>
    <w:p w:rsidR="004133C9" w:rsidRPr="004133C9" w:rsidRDefault="004133C9" w:rsidP="00123A72">
      <w:pPr>
        <w:widowControl w:val="0"/>
        <w:numPr>
          <w:ilvl w:val="0"/>
          <w:numId w:val="2"/>
        </w:numPr>
        <w:tabs>
          <w:tab w:val="left" w:pos="987"/>
        </w:tabs>
        <w:ind w:firstLine="709"/>
        <w:jc w:val="both"/>
        <w:rPr>
          <w:sz w:val="28"/>
          <w:szCs w:val="28"/>
          <w:lang w:bidi="ru-RU"/>
        </w:rPr>
      </w:pPr>
      <w:r w:rsidRPr="004133C9">
        <w:rPr>
          <w:sz w:val="28"/>
          <w:szCs w:val="28"/>
          <w:lang w:bidi="ru-RU"/>
        </w:rPr>
        <w:t>выявление комплаенс-рисков, учет обстоятельств, связанных с комплаенс-рисками, определение вероятности возникновения комплаенс-рисков;</w:t>
      </w:r>
    </w:p>
    <w:p w:rsidR="004133C9" w:rsidRPr="004133C9" w:rsidRDefault="004133C9" w:rsidP="00123A72">
      <w:pPr>
        <w:widowControl w:val="0"/>
        <w:numPr>
          <w:ilvl w:val="0"/>
          <w:numId w:val="2"/>
        </w:numPr>
        <w:tabs>
          <w:tab w:val="left" w:pos="1349"/>
        </w:tabs>
        <w:ind w:firstLine="709"/>
        <w:jc w:val="both"/>
        <w:rPr>
          <w:sz w:val="28"/>
          <w:szCs w:val="28"/>
          <w:lang w:bidi="ru-RU"/>
        </w:rPr>
      </w:pPr>
      <w:r w:rsidRPr="004133C9">
        <w:rPr>
          <w:sz w:val="28"/>
          <w:szCs w:val="28"/>
          <w:lang w:bidi="ru-RU"/>
        </w:rPr>
        <w:t xml:space="preserve"> консультирование</w:t>
      </w:r>
      <w:r w:rsidR="0055799F">
        <w:rPr>
          <w:sz w:val="28"/>
          <w:szCs w:val="28"/>
          <w:lang w:bidi="ru-RU"/>
        </w:rPr>
        <w:t xml:space="preserve"> и обучение</w:t>
      </w:r>
      <w:r w:rsidRPr="004133C9">
        <w:rPr>
          <w:sz w:val="28"/>
          <w:szCs w:val="28"/>
          <w:lang w:bidi="ru-RU"/>
        </w:rPr>
        <w:t xml:space="preserve"> муниципальных служащих Администрации по вопросам, связанным с соблюдением антимонопольного законодательства и антимонопольн</w:t>
      </w:r>
      <w:r w:rsidR="0055799F">
        <w:rPr>
          <w:sz w:val="28"/>
          <w:szCs w:val="28"/>
          <w:lang w:bidi="ru-RU"/>
        </w:rPr>
        <w:t>ого</w:t>
      </w:r>
      <w:r w:rsidRPr="004133C9">
        <w:rPr>
          <w:sz w:val="28"/>
          <w:szCs w:val="28"/>
          <w:lang w:bidi="ru-RU"/>
        </w:rPr>
        <w:t xml:space="preserve"> комплаенс</w:t>
      </w:r>
      <w:r w:rsidR="0055799F">
        <w:rPr>
          <w:sz w:val="28"/>
          <w:szCs w:val="28"/>
          <w:lang w:bidi="ru-RU"/>
        </w:rPr>
        <w:t>а</w:t>
      </w:r>
      <w:r w:rsidRPr="004133C9">
        <w:rPr>
          <w:sz w:val="28"/>
          <w:szCs w:val="28"/>
          <w:lang w:bidi="ru-RU"/>
        </w:rPr>
        <w:t>;</w:t>
      </w:r>
    </w:p>
    <w:p w:rsidR="004133C9" w:rsidRPr="004133C9" w:rsidRDefault="004133C9" w:rsidP="00123A72">
      <w:pPr>
        <w:widowControl w:val="0"/>
        <w:numPr>
          <w:ilvl w:val="0"/>
          <w:numId w:val="2"/>
        </w:numPr>
        <w:tabs>
          <w:tab w:val="left" w:pos="987"/>
        </w:tabs>
        <w:ind w:firstLine="709"/>
        <w:jc w:val="both"/>
        <w:rPr>
          <w:sz w:val="28"/>
          <w:szCs w:val="28"/>
          <w:lang w:bidi="ru-RU"/>
        </w:rPr>
      </w:pPr>
      <w:r w:rsidRPr="004133C9">
        <w:rPr>
          <w:sz w:val="28"/>
          <w:szCs w:val="28"/>
          <w:lang w:bidi="ru-RU"/>
        </w:rPr>
        <w:t xml:space="preserve">взаимодействие со структурными подразделениями Администрации по вопросам, </w:t>
      </w:r>
      <w:proofErr w:type="gramStart"/>
      <w:r w:rsidRPr="004133C9">
        <w:rPr>
          <w:sz w:val="28"/>
          <w:szCs w:val="28"/>
          <w:lang w:bidi="ru-RU"/>
        </w:rPr>
        <w:t>связанных</w:t>
      </w:r>
      <w:proofErr w:type="gramEnd"/>
      <w:r w:rsidRPr="004133C9">
        <w:rPr>
          <w:sz w:val="28"/>
          <w:szCs w:val="28"/>
          <w:lang w:bidi="ru-RU"/>
        </w:rPr>
        <w:t xml:space="preserve"> с антимонопольным </w:t>
      </w:r>
      <w:proofErr w:type="spellStart"/>
      <w:r w:rsidRPr="004133C9">
        <w:rPr>
          <w:sz w:val="28"/>
          <w:szCs w:val="28"/>
          <w:lang w:bidi="ru-RU"/>
        </w:rPr>
        <w:t>комплаенсом</w:t>
      </w:r>
      <w:proofErr w:type="spellEnd"/>
      <w:r w:rsidRPr="004133C9">
        <w:rPr>
          <w:sz w:val="28"/>
          <w:szCs w:val="28"/>
          <w:lang w:bidi="ru-RU"/>
        </w:rPr>
        <w:t>;</w:t>
      </w:r>
    </w:p>
    <w:p w:rsidR="004133C9" w:rsidRPr="004133C9" w:rsidRDefault="004133C9" w:rsidP="00123A72">
      <w:pPr>
        <w:widowControl w:val="0"/>
        <w:ind w:firstLine="720"/>
        <w:jc w:val="both"/>
        <w:rPr>
          <w:sz w:val="28"/>
          <w:szCs w:val="28"/>
          <w:lang w:bidi="ru-RU"/>
        </w:rPr>
      </w:pPr>
      <w:r w:rsidRPr="004133C9">
        <w:rPr>
          <w:sz w:val="28"/>
          <w:szCs w:val="28"/>
          <w:lang w:bidi="ru-RU"/>
        </w:rPr>
        <w:t>-</w:t>
      </w:r>
      <w:r w:rsidR="009E7508">
        <w:rPr>
          <w:sz w:val="28"/>
          <w:szCs w:val="28"/>
          <w:lang w:bidi="ru-RU"/>
        </w:rPr>
        <w:t xml:space="preserve"> </w:t>
      </w:r>
      <w:r w:rsidRPr="004133C9">
        <w:rPr>
          <w:sz w:val="28"/>
          <w:szCs w:val="28"/>
          <w:lang w:bidi="ru-RU"/>
        </w:rPr>
        <w:t>выявление конфликта интересов в деятельности служащих и структурных подразделений Администрации, разработка предложений по их исключению;</w:t>
      </w:r>
    </w:p>
    <w:p w:rsidR="004133C9" w:rsidRPr="004133C9" w:rsidRDefault="004133C9" w:rsidP="00123A72">
      <w:pPr>
        <w:widowControl w:val="0"/>
        <w:ind w:firstLine="720"/>
        <w:jc w:val="both"/>
        <w:rPr>
          <w:sz w:val="28"/>
          <w:szCs w:val="28"/>
          <w:lang w:bidi="ru-RU"/>
        </w:rPr>
      </w:pPr>
      <w:r w:rsidRPr="004133C9">
        <w:rPr>
          <w:sz w:val="28"/>
          <w:szCs w:val="28"/>
          <w:lang w:bidi="ru-RU"/>
        </w:rPr>
        <w:t>-</w:t>
      </w:r>
      <w:r w:rsidR="009E7508">
        <w:rPr>
          <w:sz w:val="28"/>
          <w:szCs w:val="28"/>
          <w:lang w:bidi="ru-RU"/>
        </w:rPr>
        <w:t xml:space="preserve"> </w:t>
      </w:r>
      <w:r w:rsidRPr="004133C9">
        <w:rPr>
          <w:sz w:val="28"/>
          <w:szCs w:val="28"/>
          <w:lang w:bidi="ru-RU"/>
        </w:rPr>
        <w:t>проведение служебных проверок в соответствии с законодательством по нарушениям, выявленным в ходе функционирования комплаенса;</w:t>
      </w:r>
    </w:p>
    <w:p w:rsidR="004133C9" w:rsidRPr="004133C9" w:rsidRDefault="004133C9" w:rsidP="00123A72">
      <w:pPr>
        <w:widowControl w:val="0"/>
        <w:jc w:val="both"/>
        <w:rPr>
          <w:sz w:val="28"/>
          <w:szCs w:val="28"/>
          <w:lang w:bidi="ru-RU"/>
        </w:rPr>
      </w:pPr>
      <w:r w:rsidRPr="004133C9">
        <w:rPr>
          <w:sz w:val="28"/>
          <w:szCs w:val="28"/>
          <w:lang w:bidi="ru-RU"/>
        </w:rPr>
        <w:t xml:space="preserve">           - ознакомление гражданина с правовыми актами, регламентирующими вопро</w:t>
      </w:r>
      <w:r w:rsidR="00731118">
        <w:rPr>
          <w:sz w:val="28"/>
          <w:szCs w:val="28"/>
          <w:lang w:bidi="ru-RU"/>
        </w:rPr>
        <w:t>сы функционирования антимонопольного комплаенса</w:t>
      </w:r>
      <w:r w:rsidR="00731118" w:rsidRPr="00731118">
        <w:t xml:space="preserve"> </w:t>
      </w:r>
      <w:r w:rsidR="00731118" w:rsidRPr="00731118">
        <w:rPr>
          <w:sz w:val="28"/>
          <w:szCs w:val="28"/>
          <w:lang w:bidi="ru-RU"/>
        </w:rPr>
        <w:t>при поступлении на должности муниц</w:t>
      </w:r>
      <w:r w:rsidR="00731118">
        <w:rPr>
          <w:sz w:val="28"/>
          <w:szCs w:val="28"/>
          <w:lang w:bidi="ru-RU"/>
        </w:rPr>
        <w:t xml:space="preserve">ипальных служащих </w:t>
      </w:r>
      <w:r w:rsidR="00731118">
        <w:rPr>
          <w:sz w:val="28"/>
          <w:szCs w:val="28"/>
          <w:lang w:bidi="ru-RU"/>
        </w:rPr>
        <w:lastRenderedPageBreak/>
        <w:t>Администрации;</w:t>
      </w:r>
    </w:p>
    <w:p w:rsidR="004133C9" w:rsidRPr="004133C9" w:rsidRDefault="004133C9" w:rsidP="00123A72">
      <w:pPr>
        <w:widowControl w:val="0"/>
        <w:ind w:firstLine="720"/>
        <w:jc w:val="both"/>
        <w:rPr>
          <w:sz w:val="28"/>
          <w:szCs w:val="28"/>
          <w:lang w:bidi="ru-RU"/>
        </w:rPr>
      </w:pPr>
      <w:r w:rsidRPr="004133C9">
        <w:rPr>
          <w:sz w:val="28"/>
          <w:szCs w:val="28"/>
          <w:lang w:bidi="ru-RU"/>
        </w:rPr>
        <w:t xml:space="preserve">- информирование Главы Горьковского муниципального района Омской области о внутренних документах, которые могут повлечь нарушение антимонопольного законодательства, противоречить антимонопольному законодательству и антимонопольному </w:t>
      </w:r>
      <w:proofErr w:type="spellStart"/>
      <w:r w:rsidRPr="004133C9">
        <w:rPr>
          <w:sz w:val="28"/>
          <w:szCs w:val="28"/>
          <w:lang w:bidi="ru-RU"/>
        </w:rPr>
        <w:t>комплаенсу</w:t>
      </w:r>
      <w:proofErr w:type="spellEnd"/>
      <w:r w:rsidRPr="004133C9">
        <w:rPr>
          <w:sz w:val="28"/>
          <w:szCs w:val="28"/>
          <w:lang w:bidi="ru-RU"/>
        </w:rPr>
        <w:t>.</w:t>
      </w:r>
    </w:p>
    <w:p w:rsidR="004133C9" w:rsidRDefault="004133C9" w:rsidP="00123A72">
      <w:pPr>
        <w:widowControl w:val="0"/>
        <w:ind w:firstLine="720"/>
        <w:jc w:val="both"/>
        <w:rPr>
          <w:sz w:val="28"/>
          <w:szCs w:val="28"/>
          <w:lang w:bidi="ru-RU"/>
        </w:rPr>
      </w:pPr>
    </w:p>
    <w:p w:rsidR="00BF3C86" w:rsidRDefault="00BF3C86" w:rsidP="00123A72">
      <w:pPr>
        <w:autoSpaceDE w:val="0"/>
        <w:autoSpaceDN w:val="0"/>
        <w:adjustRightInd w:val="0"/>
        <w:jc w:val="center"/>
        <w:rPr>
          <w:b/>
          <w:iCs/>
          <w:sz w:val="28"/>
          <w:szCs w:val="28"/>
        </w:rPr>
      </w:pPr>
    </w:p>
    <w:p w:rsidR="00BF3C86" w:rsidRDefault="00BF3C86" w:rsidP="00123A72">
      <w:pPr>
        <w:autoSpaceDE w:val="0"/>
        <w:autoSpaceDN w:val="0"/>
        <w:adjustRightInd w:val="0"/>
        <w:jc w:val="center"/>
        <w:rPr>
          <w:b/>
          <w:iCs/>
          <w:sz w:val="28"/>
          <w:szCs w:val="28"/>
        </w:rPr>
      </w:pPr>
    </w:p>
    <w:p w:rsidR="00BF3C86" w:rsidRDefault="00BF3C86" w:rsidP="00123A72">
      <w:pPr>
        <w:autoSpaceDE w:val="0"/>
        <w:autoSpaceDN w:val="0"/>
        <w:adjustRightInd w:val="0"/>
        <w:jc w:val="center"/>
        <w:rPr>
          <w:b/>
          <w:iCs/>
          <w:sz w:val="28"/>
          <w:szCs w:val="28"/>
        </w:rPr>
      </w:pPr>
    </w:p>
    <w:p w:rsidR="00BF3C86" w:rsidRDefault="00BF3C86" w:rsidP="00123A72">
      <w:pPr>
        <w:autoSpaceDE w:val="0"/>
        <w:autoSpaceDN w:val="0"/>
        <w:adjustRightInd w:val="0"/>
        <w:jc w:val="center"/>
        <w:rPr>
          <w:b/>
          <w:iCs/>
          <w:sz w:val="28"/>
          <w:szCs w:val="28"/>
        </w:rPr>
      </w:pPr>
    </w:p>
    <w:p w:rsidR="006C02CD" w:rsidRDefault="006C02CD" w:rsidP="00123A72"/>
    <w:sectPr w:rsidR="006C02CD" w:rsidSect="00FB6350">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hybridMultilevel"/>
    <w:tmpl w:val="79E2A9E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5DC930AA"/>
    <w:multiLevelType w:val="multilevel"/>
    <w:tmpl w:val="377AC1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143A"/>
    <w:rsid w:val="00006139"/>
    <w:rsid w:val="00050D8D"/>
    <w:rsid w:val="000805BB"/>
    <w:rsid w:val="00123A72"/>
    <w:rsid w:val="001349CB"/>
    <w:rsid w:val="004133C9"/>
    <w:rsid w:val="00417B65"/>
    <w:rsid w:val="004E3CEF"/>
    <w:rsid w:val="0055577B"/>
    <w:rsid w:val="0055799F"/>
    <w:rsid w:val="006C02CD"/>
    <w:rsid w:val="00731118"/>
    <w:rsid w:val="008D12C7"/>
    <w:rsid w:val="009E7508"/>
    <w:rsid w:val="00AC5661"/>
    <w:rsid w:val="00BF3C86"/>
    <w:rsid w:val="00C02493"/>
    <w:rsid w:val="00CC1C83"/>
    <w:rsid w:val="00CC49FD"/>
    <w:rsid w:val="00D364F1"/>
    <w:rsid w:val="00E240FE"/>
    <w:rsid w:val="00E3797E"/>
    <w:rsid w:val="00EA0321"/>
    <w:rsid w:val="00EF143A"/>
    <w:rsid w:val="00F14368"/>
    <w:rsid w:val="00F93A1B"/>
    <w:rsid w:val="00F96E35"/>
    <w:rsid w:val="00FB63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3C8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F3C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3C8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F3C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BB1FAA-71CF-4778-9770-6B19857AE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4</Pages>
  <Words>1093</Words>
  <Characters>6234</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29</cp:revision>
  <dcterms:created xsi:type="dcterms:W3CDTF">2025-01-22T05:15:00Z</dcterms:created>
  <dcterms:modified xsi:type="dcterms:W3CDTF">2025-01-24T05:08:00Z</dcterms:modified>
</cp:coreProperties>
</file>